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паспорт инвестиционной площадки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на территории  Анучинского муниципального района Приморского края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Сведения о площадке №1</w:t>
      </w:r>
    </w:p>
    <w:tbl>
      <w:tblPr>
        <w:tblW w:w="13740" w:type="dxa"/>
        <w:jc w:val="left"/>
        <w:tblInd w:w="511" w:type="dxa"/>
        <w:tblCellMar>
          <w:top w:w="0" w:type="dxa"/>
          <w:left w:w="70" w:type="dxa"/>
          <w:bottom w:w="0" w:type="dxa"/>
          <w:right w:w="70" w:type="dxa"/>
        </w:tblCellMar>
        <w:tblLook w:noVBand="0" w:val="0000" w:noHBand="0" w:lastColumn="0" w:firstColumn="0" w:lastRow="0" w:firstRow="0"/>
      </w:tblPr>
      <w:tblGrid>
        <w:gridCol w:w="7080"/>
        <w:gridCol w:w="6659"/>
      </w:tblGrid>
      <w:tr>
        <w:trPr>
          <w:trHeight w:val="229" w:hRule="atLeast"/>
          <w:cantSplit w:val="true"/>
        </w:trPr>
        <w:tc>
          <w:tcPr>
            <w:tcW w:w="13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 Общая информация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Тип инвестиционной площадки (краткое описание)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Земельный участок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Кадастровый номер (при наличии прилагается копия кадастрового паспорта). </w:t>
            </w:r>
          </w:p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При отсутствии кадастрового номера указывается стоимость проведения кадастровых работ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bookmarkStart w:id="0" w:name="__DdeLink__13146_1263736000"/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25:01:020301:164</w:t>
            </w:r>
            <w:bookmarkEnd w:id="0"/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Наименование, адрес правообладателя инвестиционной площадки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Администрация Анучинского муниципального района  Приморского края, с. Анучино, ул. Лазо, д.6</w:t>
            </w:r>
          </w:p>
        </w:tc>
      </w:tr>
      <w:tr>
        <w:trPr>
          <w:trHeight w:val="343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Форма владения землей и зданиями (собственность, аренда, другая)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Муниципальная собственность</w:t>
            </w:r>
          </w:p>
        </w:tc>
      </w:tr>
      <w:tr>
        <w:trPr>
          <w:trHeight w:val="343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Потенциальная возможность получения земельного участка без проведения торгов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color w:val="C9211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>есть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Лицо для контактов 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Росейчук Елена Витальевна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Должность 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Начальник отдела имущественных и земельных отношений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Телефон 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842362 91-2-65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Факс 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нет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Электронная почта 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i/>
                <w:i/>
                <w:sz w:val="24"/>
                <w:szCs w:val="24"/>
                <w:lang w:val="en-US"/>
              </w:rPr>
            </w:pPr>
            <w:bookmarkStart w:id="1" w:name="PH_authMenu_button"/>
            <w:bookmarkStart w:id="2" w:name="PH_user-email"/>
            <w:bookmarkEnd w:id="1"/>
            <w:bookmarkEnd w:id="2"/>
            <w:r>
              <w:rPr>
                <w:rFonts w:cs="Times New Roman" w:ascii="Times New Roman" w:hAnsi="Times New Roman"/>
                <w:bCs/>
                <w:i/>
                <w:sz w:val="24"/>
                <w:szCs w:val="24"/>
                <w:lang w:val="en-US"/>
              </w:rPr>
              <w:t>anuchinsky_oizo@list.ru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val="en-US"/>
              </w:rPr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Веб-сайт 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http://anuchinsky.ru/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Наличие бизнес-плана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отсутствует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Наличие технико-экономического обоснования (ТЭО) 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отсутствует</w:t>
            </w:r>
          </w:p>
        </w:tc>
      </w:tr>
      <w:tr>
        <w:trPr>
          <w:trHeight w:val="229" w:hRule="atLeast"/>
          <w:cantSplit w:val="true"/>
        </w:trPr>
        <w:tc>
          <w:tcPr>
            <w:tcW w:w="13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2. Расположение инвестиционной площадки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Адрес инвестиционной площадки (описание) 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Местоположение  участка установлено  относительно ориентира, расположенного за пределами участка  Ориентир жилой дом. Участок находится приметно  в 2794 м от ориентира по направлению на юго-запад. Почтовый адрес ориентира: Приморский край, Анучинский район, с. Старогордеевка, ул. Ленинская, 24</w:t>
            </w:r>
          </w:p>
        </w:tc>
      </w:tr>
      <w:tr>
        <w:trPr>
          <w:trHeight w:val="343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Расположение на территории действующей организации </w:t>
            </w:r>
          </w:p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(да/нет – если «да» название организации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нет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В черте населенного пункта - какого 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Приморский край, Анучинский район, с. . Старогордеевка, ул. Ленинская, 24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Удаленность от автомагистрали, км 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color w:val="C9211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>6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Удаленность от железнодорожной станции, км 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Удаленность от аэропорта, км 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207</w:t>
            </w:r>
          </w:p>
        </w:tc>
      </w:tr>
      <w:tr>
        <w:trPr>
          <w:trHeight w:val="229" w:hRule="atLeast"/>
          <w:cantSplit w:val="true"/>
        </w:trPr>
        <w:tc>
          <w:tcPr>
            <w:tcW w:w="13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3. Характеристика территории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Площадь, га 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12.1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Категория земель (вид разрешенного использования)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Земли сельскохозяйственного назначения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Возможность расширения 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color w:val="C9211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>нет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Наличие ограждений (есть, нет) 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нет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Рельеф (ровная, наклонная, террасная, уступами)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Ровный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Вид грунта 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Насыпной</w:t>
            </w:r>
          </w:p>
        </w:tc>
      </w:tr>
      <w:tr>
        <w:trPr>
          <w:trHeight w:val="44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Уровень грунтовых вод, м 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Не более 15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Глубина промерзания, м </w:t>
            </w:r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Не более 1,5</w:t>
            </w:r>
          </w:p>
        </w:tc>
      </w:tr>
      <w:tr>
        <w:trPr>
          <w:trHeight w:val="229" w:hRule="atLeast"/>
          <w:cantSplit w:val="true"/>
        </w:trPr>
        <w:tc>
          <w:tcPr>
            <w:tcW w:w="7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Возможность затопления во время паводков </w:t>
            </w:r>
            <w:bookmarkStart w:id="3" w:name="_GoBack"/>
            <w:bookmarkEnd w:id="3"/>
          </w:p>
        </w:tc>
        <w:tc>
          <w:tcPr>
            <w:tcW w:w="6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Существует возможность подтопления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280670</wp:posOffset>
                </wp:positionH>
                <wp:positionV relativeFrom="paragraph">
                  <wp:posOffset>38100</wp:posOffset>
                </wp:positionV>
                <wp:extent cx="8749665" cy="455295"/>
                <wp:effectExtent l="0" t="0" r="0" b="0"/>
                <wp:wrapSquare wrapText="bothSides"/>
                <wp:docPr id="1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49080" cy="454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6"/>
                              <w:spacing w:lineRule="auto" w:line="276" w:before="0" w:after="1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stroked="f" style="position:absolute;margin-left:22.1pt;margin-top:3pt;width:688.85pt;height:35.75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6"/>
                        <w:spacing w:lineRule="auto" w:line="276" w:before="0" w:after="14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tbl>
      <w:tblPr>
        <w:tblpPr w:bottomFromText="0" w:horzAnchor="text" w:leftFromText="180" w:rightFromText="180" w:tblpX="444" w:tblpY="2980" w:topFromText="0" w:vertAnchor="text"/>
        <w:tblW w:w="13770" w:type="dxa"/>
        <w:jc w:val="left"/>
        <w:tblInd w:w="526" w:type="dxa"/>
        <w:tblCellMar>
          <w:top w:w="0" w:type="dxa"/>
          <w:left w:w="70" w:type="dxa"/>
          <w:bottom w:w="0" w:type="dxa"/>
          <w:right w:w="70" w:type="dxa"/>
        </w:tblCellMar>
        <w:tblLook w:noVBand="0" w:val="0000" w:noHBand="0" w:lastColumn="0" w:firstColumn="0" w:lastRow="0" w:firstRow="0"/>
      </w:tblPr>
      <w:tblGrid>
        <w:gridCol w:w="1920"/>
        <w:gridCol w:w="195"/>
        <w:gridCol w:w="1425"/>
        <w:gridCol w:w="1455"/>
        <w:gridCol w:w="165"/>
        <w:gridCol w:w="1005"/>
        <w:gridCol w:w="435"/>
        <w:gridCol w:w="840"/>
        <w:gridCol w:w="540"/>
        <w:gridCol w:w="450"/>
        <w:gridCol w:w="330"/>
        <w:gridCol w:w="1785"/>
        <w:gridCol w:w="15"/>
        <w:gridCol w:w="3210"/>
      </w:tblGrid>
      <w:tr>
        <w:trPr>
          <w:trHeight w:val="240" w:hRule="atLeast"/>
          <w:cantSplit w:val="true"/>
        </w:trPr>
        <w:tc>
          <w:tcPr>
            <w:tcW w:w="1377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4. Инфраструктура</w:t>
            </w:r>
          </w:p>
        </w:tc>
      </w:tr>
      <w:tr>
        <w:trPr>
          <w:trHeight w:val="840" w:hRule="atLeast"/>
          <w:cantSplit w:val="true"/>
        </w:trPr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Ресурс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Наличие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Единица</w:t>
            </w:r>
          </w:p>
          <w:p>
            <w:pPr>
              <w:pStyle w:val="Normal"/>
              <w:spacing w:before="0" w:after="0"/>
              <w:jc w:val="center"/>
              <w:rPr/>
            </w:pPr>
            <w:bookmarkStart w:id="4" w:name="__UnoMark__8347_1263736000111"/>
            <w:bookmarkStart w:id="5" w:name="__UnoMark__1734_15036446701"/>
            <w:bookmarkEnd w:id="4"/>
            <w:bookmarkEnd w:id="5"/>
            <w:r>
              <w:rPr>
                <w:rFonts w:cs="Times New Roman" w:ascii="Times New Roman" w:hAnsi="Times New Roman"/>
                <w:bCs/>
              </w:rPr>
              <w:t>измерения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Мощность</w:t>
            </w:r>
          </w:p>
        </w:tc>
        <w:tc>
          <w:tcPr>
            <w:tcW w:w="1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Удаленность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площадки</w:t>
            </w:r>
          </w:p>
          <w:p>
            <w:pPr>
              <w:pStyle w:val="Normal"/>
              <w:spacing w:before="0" w:after="0"/>
              <w:jc w:val="center"/>
              <w:rPr/>
            </w:pPr>
            <w:bookmarkStart w:id="6" w:name="__UnoMark__8351_1263736000111"/>
            <w:bookmarkStart w:id="7" w:name="__UnoMark__1737_15036446701"/>
            <w:bookmarkEnd w:id="6"/>
            <w:bookmarkEnd w:id="7"/>
            <w:r>
              <w:rPr>
                <w:rFonts w:cs="Times New Roman" w:ascii="Times New Roman" w:hAnsi="Times New Roman"/>
                <w:bCs/>
              </w:rPr>
              <w:t>от источника, м</w:t>
            </w:r>
          </w:p>
        </w:tc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Возможность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увеличения</w:t>
            </w:r>
          </w:p>
          <w:p>
            <w:pPr>
              <w:pStyle w:val="Normal"/>
              <w:spacing w:before="0" w:after="0"/>
              <w:jc w:val="center"/>
              <w:rPr/>
            </w:pPr>
            <w:bookmarkStart w:id="8" w:name="__UnoMark__8353_1263736000111"/>
            <w:bookmarkStart w:id="9" w:name="__UnoMark__1739_15036446701"/>
            <w:bookmarkEnd w:id="8"/>
            <w:bookmarkEnd w:id="9"/>
            <w:r>
              <w:rPr>
                <w:rFonts w:cs="Times New Roman" w:ascii="Times New Roman" w:hAnsi="Times New Roman"/>
                <w:bCs/>
              </w:rPr>
              <w:t>мощности (до)</w:t>
            </w:r>
          </w:p>
        </w:tc>
        <w:tc>
          <w:tcPr>
            <w:tcW w:w="3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Возможность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периодического</w:t>
            </w:r>
          </w:p>
          <w:p>
            <w:pPr>
              <w:pStyle w:val="Normal"/>
              <w:spacing w:before="0" w:after="0"/>
              <w:jc w:val="center"/>
              <w:rPr/>
            </w:pPr>
            <w:bookmarkStart w:id="10" w:name="__UnoMark__8355_1263736000111"/>
            <w:bookmarkStart w:id="11" w:name="__UnoMark__1741_15036446701"/>
            <w:bookmarkEnd w:id="10"/>
            <w:bookmarkEnd w:id="11"/>
            <w:r>
              <w:rPr>
                <w:rFonts w:cs="Times New Roman" w:ascii="Times New Roman" w:hAnsi="Times New Roman"/>
                <w:bCs/>
              </w:rPr>
              <w:t>отключения</w:t>
            </w:r>
          </w:p>
        </w:tc>
      </w:tr>
      <w:tr>
        <w:trPr>
          <w:trHeight w:val="46" w:hRule="atLeast"/>
          <w:cantSplit w:val="true"/>
        </w:trPr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Водоснабжение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нет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  <w:vertAlign w:val="superscript"/>
              </w:rPr>
            </w:pPr>
            <w:r>
              <w:rPr>
                <w:rFonts w:cs="Times New Roman" w:ascii="Times New Roman" w:hAnsi="Times New Roman"/>
                <w:bCs/>
                <w:vertAlign w:val="superscript"/>
              </w:rPr>
            </w:r>
          </w:p>
        </w:tc>
        <w:tc>
          <w:tcPr>
            <w:tcW w:w="1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3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</w:tr>
      <w:tr>
        <w:trPr>
          <w:trHeight w:val="46" w:hRule="atLeast"/>
          <w:cantSplit w:val="true"/>
        </w:trPr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Электроэнергия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нет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3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</w:tr>
      <w:tr>
        <w:trPr>
          <w:trHeight w:val="46" w:hRule="atLeast"/>
          <w:cantSplit w:val="true"/>
        </w:trPr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Отопление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нет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3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</w:tr>
      <w:tr>
        <w:trPr>
          <w:trHeight w:val="46" w:hRule="atLeast"/>
          <w:cantSplit w:val="true"/>
        </w:trPr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Канализация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нет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3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</w:tr>
      <w:tr>
        <w:trPr>
          <w:trHeight w:val="46" w:hRule="atLeast"/>
          <w:cantSplit w:val="true"/>
        </w:trPr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Газ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нет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3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</w:tr>
      <w:tr>
        <w:trPr>
          <w:trHeight w:val="46" w:hRule="atLeast"/>
          <w:cantSplit w:val="true"/>
        </w:trPr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Пар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нет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3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</w:tr>
      <w:tr>
        <w:trPr>
          <w:trHeight w:val="360" w:hRule="atLeast"/>
          <w:cantSplit w:val="true"/>
        </w:trPr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Очистные сооружения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нет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  <w:vertAlign w:val="superscript"/>
              </w:rPr>
            </w:pPr>
            <w:r>
              <w:rPr>
                <w:rFonts w:cs="Times New Roman" w:ascii="Times New Roman" w:hAnsi="Times New Roman"/>
                <w:bCs/>
                <w:vertAlign w:val="superscript"/>
              </w:rPr>
            </w:r>
          </w:p>
        </w:tc>
        <w:tc>
          <w:tcPr>
            <w:tcW w:w="1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3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</w:tr>
      <w:tr>
        <w:trPr>
          <w:trHeight w:val="46" w:hRule="atLeast"/>
          <w:cantSplit w:val="true"/>
        </w:trPr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Сжатый воздух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нет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21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  <w:tc>
          <w:tcPr>
            <w:tcW w:w="32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</w:p>
        </w:tc>
      </w:tr>
      <w:tr>
        <w:trPr>
          <w:trHeight w:val="240" w:hRule="atLeast"/>
          <w:cantSplit w:val="true"/>
        </w:trPr>
        <w:tc>
          <w:tcPr>
            <w:tcW w:w="1377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5. Коммуникации на территории</w:t>
            </w:r>
          </w:p>
        </w:tc>
      </w:tr>
      <w:tr>
        <w:trPr>
          <w:trHeight w:val="46" w:hRule="atLeast"/>
          <w:cantSplit w:val="true"/>
        </w:trPr>
        <w:tc>
          <w:tcPr>
            <w:tcW w:w="79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Автодороги (тип, покрытие, протяженность и т.д.) </w:t>
            </w:r>
          </w:p>
        </w:tc>
        <w:tc>
          <w:tcPr>
            <w:tcW w:w="57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Нет</w:t>
            </w:r>
          </w:p>
        </w:tc>
      </w:tr>
      <w:tr>
        <w:trPr>
          <w:trHeight w:val="46" w:hRule="atLeast"/>
          <w:cantSplit w:val="true"/>
        </w:trPr>
        <w:tc>
          <w:tcPr>
            <w:tcW w:w="79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Ж/д ветка (тип, покрытие, протяженность и т.д.)</w:t>
            </w:r>
          </w:p>
        </w:tc>
        <w:tc>
          <w:tcPr>
            <w:tcW w:w="57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нет</w:t>
            </w:r>
          </w:p>
        </w:tc>
      </w:tr>
      <w:tr>
        <w:trPr>
          <w:trHeight w:val="240" w:hRule="atLeast"/>
          <w:cantSplit w:val="true"/>
        </w:trPr>
        <w:tc>
          <w:tcPr>
            <w:tcW w:w="798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Сети телекоммуникаций (телефон, Интернет, иное)</w:t>
            </w:r>
          </w:p>
        </w:tc>
        <w:tc>
          <w:tcPr>
            <w:tcW w:w="57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нет</w:t>
            </w:r>
          </w:p>
        </w:tc>
      </w:tr>
      <w:tr>
        <w:trPr>
          <w:trHeight w:val="240" w:hRule="atLeast"/>
          <w:cantSplit w:val="true"/>
        </w:trPr>
        <w:tc>
          <w:tcPr>
            <w:tcW w:w="1377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6. Здания и сооружения на территории</w:t>
            </w:r>
          </w:p>
        </w:tc>
      </w:tr>
      <w:tr>
        <w:trPr>
          <w:trHeight w:val="1448" w:hRule="atLeast"/>
          <w:cantSplit w:val="true"/>
        </w:trPr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Наименование</w:t>
            </w:r>
          </w:p>
          <w:p>
            <w:pPr>
              <w:pStyle w:val="Normal"/>
              <w:spacing w:before="0" w:after="0"/>
              <w:jc w:val="center"/>
              <w:rPr/>
            </w:pPr>
            <w:bookmarkStart w:id="12" w:name="__UnoMark__8485_1263736000111"/>
            <w:bookmarkStart w:id="13" w:name="__UnoMark__1759_15036446701"/>
            <w:bookmarkEnd w:id="12"/>
            <w:bookmarkEnd w:id="13"/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объекта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Площадь, кв. м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Этажность</w:t>
            </w:r>
          </w:p>
        </w:tc>
        <w:tc>
          <w:tcPr>
            <w:tcW w:w="1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Высота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потолка,</w:t>
            </w:r>
          </w:p>
          <w:p>
            <w:pPr>
              <w:pStyle w:val="Normal"/>
              <w:spacing w:before="0" w:after="0"/>
              <w:jc w:val="center"/>
              <w:rPr/>
            </w:pPr>
            <w:bookmarkStart w:id="14" w:name="__UnoMark__8491_1263736000111"/>
            <w:bookmarkStart w:id="15" w:name="__UnoMark__1763_15036446701"/>
            <w:bookmarkEnd w:id="14"/>
            <w:bookmarkEnd w:id="15"/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м</w:t>
            </w: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Тип</w:t>
            </w:r>
          </w:p>
          <w:p>
            <w:pPr>
              <w:pStyle w:val="Normal"/>
              <w:spacing w:before="0" w:after="0"/>
              <w:jc w:val="center"/>
              <w:rPr/>
            </w:pPr>
            <w:bookmarkStart w:id="16" w:name="__UnoMark__8493_1263736000111"/>
            <w:bookmarkStart w:id="17" w:name="__UnoMark__1765_15036446701"/>
            <w:bookmarkEnd w:id="16"/>
            <w:bookmarkEnd w:id="17"/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конструкций, стен</w:t>
            </w: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Степень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завершенности, 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% или</w:t>
            </w:r>
          </w:p>
          <w:p>
            <w:pPr>
              <w:pStyle w:val="Normal"/>
              <w:spacing w:before="0" w:after="0"/>
              <w:jc w:val="center"/>
              <w:rPr/>
            </w:pPr>
            <w:bookmarkStart w:id="18" w:name="__UnoMark__8495_1263736000111"/>
            <w:bookmarkStart w:id="19" w:name="__UnoMark__1767_15036446701"/>
            <w:bookmarkEnd w:id="18"/>
            <w:bookmarkEnd w:id="19"/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иное</w:t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Год постройки</w:t>
            </w:r>
          </w:p>
          <w:p>
            <w:pPr>
              <w:pStyle w:val="Normal"/>
              <w:spacing w:before="0" w:after="0"/>
              <w:jc w:val="center"/>
              <w:rPr/>
            </w:pPr>
            <w:bookmarkStart w:id="20" w:name="__UnoMark__8497_1263736000111"/>
            <w:bookmarkStart w:id="21" w:name="__UnoMark__1769_15036446701"/>
            <w:bookmarkEnd w:id="20"/>
            <w:bookmarkEnd w:id="21"/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и оценка текущего состояния</w:t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Как используется в настоящее время, % или иное</w:t>
            </w:r>
          </w:p>
        </w:tc>
      </w:tr>
      <w:tr>
        <w:trPr>
          <w:trHeight w:val="46" w:hRule="atLeast"/>
          <w:cantSplit w:val="true"/>
        </w:trPr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нет</w:t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</w:tr>
      <w:tr>
        <w:trPr>
          <w:trHeight w:val="46" w:hRule="atLeast"/>
          <w:cantSplit w:val="true"/>
        </w:trPr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</w:tr>
      <w:tr>
        <w:trPr>
          <w:trHeight w:val="46" w:hRule="atLeast"/>
          <w:cantSplit w:val="true"/>
        </w:trPr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32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1377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7. Условия передачи площадки (условия аренды или продажи (примерная стоимость)</w:t>
            </w:r>
          </w:p>
        </w:tc>
      </w:tr>
      <w:tr>
        <w:trPr>
          <w:trHeight w:val="240" w:hRule="atLeast"/>
          <w:cantSplit w:val="true"/>
        </w:trPr>
        <w:tc>
          <w:tcPr>
            <w:tcW w:w="1377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Условия передачи — аренда. Кадастровая стоимость 474759,04 руб. Арендная плата за использование земельных участков исчисляется из кадастровой стоимости земельных участков и ставок арендной платы в соответствии с видом разрешенного использования, установленных решением Думы Анучинского муниципального района от 27.05.2015 г. № 640-НПА « О порядке определения размера арендной платы, условий и сроков внесения арендной платы за земельные участки, находящиеся в муниципальной собственности Анучинского муниципального района и предоставленные в аренду без торгов», в, решением думы Анучинского муниципального района от 22.02.2017 г. №-173-НПА «О Положении о порядке определения размера начальной цены предмета аукциона на право заключения договора аренды земельных участков, находящихся в собственности или ведении Анучинского муниципального района».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  <w:bookmarkStart w:id="22" w:name="__UnoMark__8551_126373600011121"/>
            <w:bookmarkStart w:id="23" w:name="__UnoMark__12621_1263736000111"/>
            <w:bookmarkStart w:id="24" w:name="__UnoMark__1772_15036446701"/>
            <w:bookmarkStart w:id="25" w:name="__UnoMark__8551_126373600011121"/>
            <w:bookmarkStart w:id="26" w:name="__UnoMark__12621_1263736000111"/>
            <w:bookmarkStart w:id="27" w:name="__UnoMark__1772_15036446701"/>
            <w:bookmarkEnd w:id="25"/>
            <w:bookmarkEnd w:id="26"/>
            <w:bookmarkEnd w:id="27"/>
          </w:p>
        </w:tc>
      </w:tr>
      <w:tr>
        <w:trPr>
          <w:trHeight w:val="240" w:hRule="atLeast"/>
          <w:cantSplit w:val="true"/>
        </w:trPr>
        <w:tc>
          <w:tcPr>
            <w:tcW w:w="1377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8. Пояснительная записка к паспорту инвестиционной площадки</w:t>
            </w:r>
          </w:p>
        </w:tc>
      </w:tr>
      <w:tr>
        <w:trPr>
          <w:trHeight w:val="240" w:hRule="atLeast"/>
          <w:cantSplit w:val="true"/>
        </w:trPr>
        <w:tc>
          <w:tcPr>
            <w:tcW w:w="1377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1377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9. Ситуационный план территории (выкопировка)</w:t>
            </w:r>
          </w:p>
        </w:tc>
      </w:tr>
      <w:tr>
        <w:trPr>
          <w:trHeight w:val="240" w:hRule="atLeast"/>
          <w:cantSplit w:val="true"/>
        </w:trPr>
        <w:tc>
          <w:tcPr>
            <w:tcW w:w="1377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13770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10. Не менее двух фотографий территории (участка)</w:t>
            </w:r>
          </w:p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Заявитель представляет фотографии инвестиционной площадки на местности на бумажном носителе (на листе формата А4 должно быть расположено не более 2-х цветных фотографий, размерами не менее 10 х 15 см) и в электронном варианте (формат JPG, цветные, не более 20 х 30 см (2362 х 3543 пикселя), но не менее 10 х 15 см (1181 х 1772 пикселя)). В случае наличия на инвестиционной площадке недвижимого имущества заявитель также представляет фотографии объекта (объектов) со всех сторон, а также внутренних помещений (количество - не менее 2 шт. на каждую сторону объекта или помещения).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Сведения о площадке №2</w:t>
      </w:r>
    </w:p>
    <w:tbl>
      <w:tblPr>
        <w:tblW w:w="13740" w:type="dxa"/>
        <w:jc w:val="left"/>
        <w:tblInd w:w="511" w:type="dxa"/>
        <w:tblCellMar>
          <w:top w:w="0" w:type="dxa"/>
          <w:left w:w="70" w:type="dxa"/>
          <w:bottom w:w="0" w:type="dxa"/>
          <w:right w:w="70" w:type="dxa"/>
        </w:tblCellMar>
        <w:tblLook w:noVBand="0" w:val="0000" w:noHBand="0" w:lastColumn="0" w:firstColumn="0" w:lastRow="0" w:firstRow="0"/>
      </w:tblPr>
      <w:tblGrid>
        <w:gridCol w:w="7260"/>
        <w:gridCol w:w="6479"/>
      </w:tblGrid>
      <w:tr>
        <w:trPr>
          <w:trHeight w:val="229" w:hRule="atLeast"/>
          <w:cantSplit w:val="true"/>
        </w:trPr>
        <w:tc>
          <w:tcPr>
            <w:tcW w:w="13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1. Общая информация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Тип инвестиционной площадки (краткое описание)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Земельный участок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Кадастровый номер (при наличии прилагается копия кадастрового паспорта). </w:t>
            </w:r>
          </w:p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При отсутствии кадастрового номера указывается стоимость проведения кадастровых работ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25:01:020301:162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Наименование, адрес правообладателя инвестиционной площадки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Администрация Анучинского муниципального района  Приморского края, с. Анучино, ул. Лазо, д.6</w:t>
            </w:r>
          </w:p>
        </w:tc>
      </w:tr>
      <w:tr>
        <w:trPr>
          <w:trHeight w:val="343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Форма владения землей и зданиями (собственность, аренда, другая)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Муниципальная собственность</w:t>
            </w:r>
          </w:p>
        </w:tc>
      </w:tr>
      <w:tr>
        <w:trPr>
          <w:trHeight w:val="343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Потенциальная возможность получения земельного участка без проведения торгов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both"/>
              <w:rPr>
                <w:color w:val="000000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>есть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Лицо для контактов 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Росейчук Елена Витальевна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Должность 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Начальник отдела имущественных и земельных отношений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Телефон 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842362 91-2-65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Факс 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нет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Электронная почта 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i/>
                <w:i/>
                <w:sz w:val="24"/>
                <w:szCs w:val="24"/>
                <w:lang w:val="en-US"/>
              </w:rPr>
            </w:pPr>
            <w:bookmarkStart w:id="28" w:name="PH_authMenu_button1"/>
            <w:bookmarkStart w:id="29" w:name="PH_user-email1"/>
            <w:bookmarkEnd w:id="28"/>
            <w:bookmarkEnd w:id="29"/>
            <w:r>
              <w:rPr>
                <w:rFonts w:cs="Times New Roman" w:ascii="Times New Roman" w:hAnsi="Times New Roman"/>
                <w:bCs/>
                <w:i/>
                <w:sz w:val="24"/>
                <w:szCs w:val="24"/>
                <w:lang w:val="en-US"/>
              </w:rPr>
              <w:t>anuchinsky_oizo@list.ru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  <w:lang w:val="en-US"/>
              </w:rPr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Веб-сайт 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http://anuchinsky.ru/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Наличие бизнес-плана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отсутствует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Наличие технико-экономического обоснования (ТЭО) 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отсутствует</w:t>
            </w:r>
          </w:p>
        </w:tc>
      </w:tr>
      <w:tr>
        <w:trPr>
          <w:trHeight w:val="229" w:hRule="atLeast"/>
          <w:cantSplit w:val="true"/>
        </w:trPr>
        <w:tc>
          <w:tcPr>
            <w:tcW w:w="13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2. Расположение инвестиционной площадки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Адрес инвестиционной площадки (описание) 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Местоположение  участка установлено  относительно ориентира,участок находится приметно  в 1779 м на северо-восток по адресу: Приморский край, Анучинский район, с. Анучино, ул. Гагарина, д.18 кв.1</w:t>
            </w:r>
          </w:p>
        </w:tc>
      </w:tr>
      <w:tr>
        <w:trPr>
          <w:trHeight w:val="343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Расположение на территории действующей организации </w:t>
            </w:r>
          </w:p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(да/нет – если «да» название организации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нет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В черте населенного пункта - какого 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Приморский край, Анучинский район, с. Анучино, ул. Гагарина, д.18 кв.1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Удаленность от автомагистрали, км 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color w:val="000000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Удаленность от железнодорожной станции, км 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34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Удаленность от аэропорта, км 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199</w:t>
            </w:r>
          </w:p>
        </w:tc>
      </w:tr>
      <w:tr>
        <w:trPr>
          <w:trHeight w:val="229" w:hRule="atLeast"/>
          <w:cantSplit w:val="true"/>
        </w:trPr>
        <w:tc>
          <w:tcPr>
            <w:tcW w:w="1373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3. Характеристика территории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Площадь, га 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30,1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Категория земель (вид разрешенного использования)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Земли сельскохозяйственного назначения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Возможность расширения 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color w:val="C9211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color w:val="000000"/>
                <w:sz w:val="24"/>
                <w:szCs w:val="24"/>
              </w:rPr>
              <w:t>нет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Наличие ограждений (есть, нет) 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нет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Рельеф (ровная, наклонная, террасная, уступами)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Ровный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Вид грунта 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Насыпной</w:t>
            </w:r>
          </w:p>
        </w:tc>
      </w:tr>
      <w:tr>
        <w:trPr>
          <w:trHeight w:val="44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Уровень грунтовых вод, м 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Не более15м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Глубина промерзания, м </w:t>
            </w:r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Не более 1.5м</w:t>
            </w:r>
          </w:p>
        </w:tc>
      </w:tr>
      <w:tr>
        <w:trPr>
          <w:trHeight w:val="229" w:hRule="atLeast"/>
          <w:cantSplit w:val="true"/>
        </w:trPr>
        <w:tc>
          <w:tcPr>
            <w:tcW w:w="7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Возможность затопления во время паводков </w:t>
            </w:r>
            <w:bookmarkStart w:id="30" w:name="_GoBack1"/>
            <w:bookmarkEnd w:id="30"/>
          </w:p>
        </w:tc>
        <w:tc>
          <w:tcPr>
            <w:tcW w:w="6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нет</w:t>
            </w:r>
          </w:p>
        </w:tc>
      </w:tr>
    </w:tbl>
    <w:p>
      <w:pPr>
        <w:pStyle w:val="Normal"/>
        <w:spacing w:before="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3">
                <wp:simplePos x="0" y="0"/>
                <wp:positionH relativeFrom="column">
                  <wp:posOffset>280670</wp:posOffset>
                </wp:positionH>
                <wp:positionV relativeFrom="paragraph">
                  <wp:posOffset>38100</wp:posOffset>
                </wp:positionV>
                <wp:extent cx="8749665" cy="455295"/>
                <wp:effectExtent l="0" t="0" r="0" b="0"/>
                <wp:wrapSquare wrapText="bothSides"/>
                <wp:docPr id="3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49080" cy="454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6"/>
                              <w:spacing w:lineRule="auto" w:line="276" w:before="0" w:after="14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2" stroked="f" style="position:absolute;margin-left:22.1pt;margin-top:3pt;width:688.85pt;height:35.75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6"/>
                        <w:spacing w:lineRule="auto" w:line="276" w:before="0" w:after="14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tbl>
      <w:tblPr>
        <w:tblpPr w:bottomFromText="0" w:horzAnchor="text" w:leftFromText="180" w:rightFromText="180" w:tblpX="444" w:tblpY="2980" w:topFromText="0" w:vertAnchor="text"/>
        <w:tblW w:w="13725" w:type="dxa"/>
        <w:jc w:val="left"/>
        <w:tblInd w:w="541" w:type="dxa"/>
        <w:tblCellMar>
          <w:top w:w="0" w:type="dxa"/>
          <w:left w:w="70" w:type="dxa"/>
          <w:bottom w:w="0" w:type="dxa"/>
          <w:right w:w="70" w:type="dxa"/>
        </w:tblCellMar>
        <w:tblLook w:noVBand="0" w:val="0000" w:noHBand="0" w:lastColumn="0" w:firstColumn="0" w:lastRow="0" w:firstRow="0"/>
      </w:tblPr>
      <w:tblGrid>
        <w:gridCol w:w="1830"/>
        <w:gridCol w:w="195"/>
        <w:gridCol w:w="1425"/>
        <w:gridCol w:w="1455"/>
        <w:gridCol w:w="165"/>
        <w:gridCol w:w="1005"/>
        <w:gridCol w:w="435"/>
        <w:gridCol w:w="840"/>
        <w:gridCol w:w="540"/>
        <w:gridCol w:w="450"/>
        <w:gridCol w:w="330"/>
        <w:gridCol w:w="1440"/>
        <w:gridCol w:w="360"/>
        <w:gridCol w:w="3255"/>
      </w:tblGrid>
      <w:tr>
        <w:trPr>
          <w:trHeight w:val="240" w:hRule="atLeast"/>
          <w:cantSplit w:val="true"/>
        </w:trPr>
        <w:tc>
          <w:tcPr>
            <w:tcW w:w="13725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4. Инфраструктура</w:t>
            </w:r>
            <w:bookmarkStart w:id="31" w:name="__UnoMark__1594_15036446701"/>
            <w:bookmarkStart w:id="32" w:name="__UnoMark__1485_4080806650"/>
            <w:bookmarkEnd w:id="31"/>
            <w:bookmarkEnd w:id="32"/>
          </w:p>
        </w:tc>
      </w:tr>
      <w:tr>
        <w:trPr>
          <w:trHeight w:val="840" w:hRule="atLeast"/>
          <w:cantSplit w:val="true"/>
        </w:trPr>
        <w:tc>
          <w:tcPr>
            <w:tcW w:w="2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Ресурс</w:t>
            </w:r>
            <w:bookmarkStart w:id="33" w:name="__UnoMark__1595_15036446701"/>
            <w:bookmarkStart w:id="34" w:name="__UnoMark__1488_4080806650"/>
            <w:bookmarkEnd w:id="33"/>
            <w:bookmarkEnd w:id="34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Наличие</w:t>
            </w:r>
            <w:bookmarkStart w:id="35" w:name="__UnoMark__1596_15036446701"/>
            <w:bookmarkStart w:id="36" w:name="__UnoMark__1491_4080806650"/>
            <w:bookmarkEnd w:id="35"/>
            <w:bookmarkEnd w:id="36"/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Единица</w:t>
            </w:r>
          </w:p>
          <w:p>
            <w:pPr>
              <w:pStyle w:val="Normal"/>
              <w:spacing w:before="0" w:after="0"/>
              <w:jc w:val="center"/>
              <w:rPr/>
            </w:pPr>
            <w:bookmarkStart w:id="37" w:name="__UnoMark__8347_12637360001211"/>
            <w:bookmarkEnd w:id="37"/>
            <w:r>
              <w:rPr>
                <w:rFonts w:cs="Times New Roman" w:ascii="Times New Roman" w:hAnsi="Times New Roman"/>
                <w:bCs/>
              </w:rPr>
              <w:t>измерения</w:t>
            </w:r>
            <w:bookmarkStart w:id="38" w:name="__UnoMark__1598_15036446701"/>
            <w:bookmarkStart w:id="39" w:name="__UnoMark__1495_4080806650"/>
            <w:bookmarkEnd w:id="38"/>
            <w:bookmarkEnd w:id="39"/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Мощность</w:t>
            </w:r>
            <w:bookmarkStart w:id="40" w:name="__UnoMark__1599_15036446701"/>
            <w:bookmarkStart w:id="41" w:name="__UnoMark__1498_4080806650"/>
            <w:bookmarkEnd w:id="40"/>
            <w:bookmarkEnd w:id="41"/>
          </w:p>
        </w:tc>
        <w:tc>
          <w:tcPr>
            <w:tcW w:w="1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Удаленность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площадки</w:t>
            </w:r>
          </w:p>
          <w:p>
            <w:pPr>
              <w:pStyle w:val="Normal"/>
              <w:spacing w:before="0" w:after="0"/>
              <w:jc w:val="center"/>
              <w:rPr/>
            </w:pPr>
            <w:bookmarkStart w:id="42" w:name="__UnoMark__8351_12637360001211"/>
            <w:bookmarkEnd w:id="42"/>
            <w:r>
              <w:rPr>
                <w:rFonts w:cs="Times New Roman" w:ascii="Times New Roman" w:hAnsi="Times New Roman"/>
                <w:bCs/>
              </w:rPr>
              <w:t>от источника, м</w:t>
            </w:r>
            <w:bookmarkStart w:id="43" w:name="__UnoMark__1601_15036446701"/>
            <w:bookmarkStart w:id="44" w:name="__UnoMark__1502_4080806650"/>
            <w:bookmarkEnd w:id="43"/>
            <w:bookmarkEnd w:id="44"/>
          </w:p>
        </w:tc>
        <w:tc>
          <w:tcPr>
            <w:tcW w:w="17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Возможность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увеличения</w:t>
            </w:r>
          </w:p>
          <w:p>
            <w:pPr>
              <w:pStyle w:val="Normal"/>
              <w:spacing w:before="0" w:after="0"/>
              <w:jc w:val="center"/>
              <w:rPr/>
            </w:pPr>
            <w:bookmarkStart w:id="45" w:name="__UnoMark__8353_12637360001211"/>
            <w:bookmarkEnd w:id="45"/>
            <w:r>
              <w:rPr>
                <w:rFonts w:cs="Times New Roman" w:ascii="Times New Roman" w:hAnsi="Times New Roman"/>
                <w:bCs/>
              </w:rPr>
              <w:t>мощности (до)</w:t>
            </w:r>
            <w:bookmarkStart w:id="46" w:name="__UnoMark__1603_15036446701"/>
            <w:bookmarkStart w:id="47" w:name="__UnoMark__1506_4080806650"/>
            <w:bookmarkEnd w:id="46"/>
            <w:bookmarkEnd w:id="47"/>
          </w:p>
        </w:tc>
        <w:tc>
          <w:tcPr>
            <w:tcW w:w="36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Возможность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периодического</w:t>
            </w:r>
          </w:p>
          <w:p>
            <w:pPr>
              <w:pStyle w:val="Normal"/>
              <w:spacing w:before="0" w:after="0"/>
              <w:jc w:val="center"/>
              <w:rPr/>
            </w:pPr>
            <w:bookmarkStart w:id="48" w:name="__UnoMark__8355_12637360001211"/>
            <w:bookmarkEnd w:id="48"/>
            <w:r>
              <w:rPr>
                <w:rFonts w:cs="Times New Roman" w:ascii="Times New Roman" w:hAnsi="Times New Roman"/>
                <w:bCs/>
              </w:rPr>
              <w:t>отключения</w:t>
            </w:r>
            <w:bookmarkStart w:id="49" w:name="__UnoMark__1605_15036446701"/>
            <w:bookmarkStart w:id="50" w:name="__UnoMark__1510_4080806650"/>
            <w:bookmarkEnd w:id="49"/>
            <w:bookmarkEnd w:id="50"/>
          </w:p>
        </w:tc>
      </w:tr>
      <w:tr>
        <w:trPr>
          <w:trHeight w:val="46" w:hRule="atLeast"/>
          <w:cantSplit w:val="true"/>
        </w:trPr>
        <w:tc>
          <w:tcPr>
            <w:tcW w:w="2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Водоснабжение</w:t>
            </w:r>
            <w:bookmarkStart w:id="51" w:name="__UnoMark__1606_15036446701"/>
            <w:bookmarkStart w:id="52" w:name="__UnoMark__1513_4080806650"/>
            <w:bookmarkEnd w:id="51"/>
            <w:bookmarkEnd w:id="52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нет</w:t>
            </w:r>
            <w:bookmarkStart w:id="53" w:name="__UnoMark__1607_15036446701"/>
            <w:bookmarkStart w:id="54" w:name="__UnoMark__1516_4080806650"/>
            <w:bookmarkEnd w:id="53"/>
            <w:bookmarkEnd w:id="54"/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55" w:name="__UnoMark__1608_15036446701"/>
            <w:bookmarkStart w:id="56" w:name="__UnoMark__1519_4080806650"/>
            <w:bookmarkEnd w:id="55"/>
            <w:bookmarkEnd w:id="56"/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  <w:vertAlign w:val="superscript"/>
              </w:rPr>
            </w:pPr>
            <w:r>
              <w:rPr>
                <w:rFonts w:cs="Times New Roman" w:ascii="Times New Roman" w:hAnsi="Times New Roman"/>
                <w:bCs/>
                <w:vertAlign w:val="superscript"/>
              </w:rPr>
            </w:r>
          </w:p>
        </w:tc>
        <w:tc>
          <w:tcPr>
            <w:tcW w:w="1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57" w:name="__UnoMark__1609_15036446701"/>
            <w:bookmarkStart w:id="58" w:name="__UnoMark__1524_4080806650"/>
            <w:bookmarkEnd w:id="57"/>
            <w:bookmarkEnd w:id="58"/>
          </w:p>
        </w:tc>
        <w:tc>
          <w:tcPr>
            <w:tcW w:w="17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59" w:name="__UnoMark__1610_15036446701"/>
            <w:bookmarkStart w:id="60" w:name="__UnoMark__1527_4080806650"/>
            <w:bookmarkEnd w:id="59"/>
            <w:bookmarkEnd w:id="60"/>
          </w:p>
        </w:tc>
        <w:tc>
          <w:tcPr>
            <w:tcW w:w="36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61" w:name="__UnoMark__1611_15036446701"/>
            <w:bookmarkStart w:id="62" w:name="__UnoMark__1530_4080806650"/>
            <w:bookmarkEnd w:id="61"/>
            <w:bookmarkEnd w:id="62"/>
          </w:p>
        </w:tc>
      </w:tr>
      <w:tr>
        <w:trPr>
          <w:trHeight w:val="46" w:hRule="atLeast"/>
          <w:cantSplit w:val="true"/>
        </w:trPr>
        <w:tc>
          <w:tcPr>
            <w:tcW w:w="2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Электроэнергия</w:t>
            </w:r>
            <w:bookmarkStart w:id="63" w:name="__UnoMark__1612_15036446701"/>
            <w:bookmarkStart w:id="64" w:name="__UnoMark__1533_4080806650"/>
            <w:bookmarkEnd w:id="63"/>
            <w:bookmarkEnd w:id="64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нет</w:t>
            </w:r>
            <w:bookmarkStart w:id="65" w:name="__UnoMark__1613_15036446701"/>
            <w:bookmarkStart w:id="66" w:name="__UnoMark__1536_4080806650"/>
            <w:bookmarkEnd w:id="65"/>
            <w:bookmarkEnd w:id="66"/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67" w:name="__UnoMark__1614_15036446701"/>
            <w:bookmarkStart w:id="68" w:name="__UnoMark__1539_4080806650"/>
            <w:bookmarkEnd w:id="67"/>
            <w:bookmarkEnd w:id="68"/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69" w:name="__UnoMark__1615_15036446701"/>
            <w:bookmarkStart w:id="70" w:name="__UnoMark__1544_4080806650"/>
            <w:bookmarkEnd w:id="69"/>
            <w:bookmarkEnd w:id="70"/>
          </w:p>
        </w:tc>
        <w:tc>
          <w:tcPr>
            <w:tcW w:w="17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71" w:name="__UnoMark__1616_15036446701"/>
            <w:bookmarkStart w:id="72" w:name="__UnoMark__1547_4080806650"/>
            <w:bookmarkEnd w:id="71"/>
            <w:bookmarkEnd w:id="72"/>
          </w:p>
        </w:tc>
        <w:tc>
          <w:tcPr>
            <w:tcW w:w="36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73" w:name="__UnoMark__1617_15036446701"/>
            <w:bookmarkStart w:id="74" w:name="__UnoMark__1550_4080806650"/>
            <w:bookmarkEnd w:id="73"/>
            <w:bookmarkEnd w:id="74"/>
          </w:p>
        </w:tc>
      </w:tr>
      <w:tr>
        <w:trPr>
          <w:trHeight w:val="46" w:hRule="atLeast"/>
          <w:cantSplit w:val="true"/>
        </w:trPr>
        <w:tc>
          <w:tcPr>
            <w:tcW w:w="2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Отопление</w:t>
            </w:r>
            <w:bookmarkStart w:id="75" w:name="__UnoMark__1618_15036446701"/>
            <w:bookmarkStart w:id="76" w:name="__UnoMark__1553_4080806650"/>
            <w:bookmarkEnd w:id="75"/>
            <w:bookmarkEnd w:id="76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нет</w:t>
            </w:r>
            <w:bookmarkStart w:id="77" w:name="__UnoMark__1619_15036446701"/>
            <w:bookmarkStart w:id="78" w:name="__UnoMark__1556_4080806650"/>
            <w:bookmarkEnd w:id="77"/>
            <w:bookmarkEnd w:id="78"/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79" w:name="__UnoMark__1620_15036446701"/>
            <w:bookmarkStart w:id="80" w:name="__UnoMark__1559_4080806650"/>
            <w:bookmarkEnd w:id="79"/>
            <w:bookmarkEnd w:id="80"/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81" w:name="__UnoMark__1621_15036446701"/>
            <w:bookmarkStart w:id="82" w:name="__UnoMark__1564_4080806650"/>
            <w:bookmarkEnd w:id="81"/>
            <w:bookmarkEnd w:id="82"/>
          </w:p>
        </w:tc>
        <w:tc>
          <w:tcPr>
            <w:tcW w:w="17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83" w:name="__UnoMark__1622_15036446701"/>
            <w:bookmarkStart w:id="84" w:name="__UnoMark__1567_4080806650"/>
            <w:bookmarkEnd w:id="83"/>
            <w:bookmarkEnd w:id="84"/>
          </w:p>
        </w:tc>
        <w:tc>
          <w:tcPr>
            <w:tcW w:w="36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85" w:name="__UnoMark__1623_15036446701"/>
            <w:bookmarkStart w:id="86" w:name="__UnoMark__1570_4080806650"/>
            <w:bookmarkEnd w:id="85"/>
            <w:bookmarkEnd w:id="86"/>
          </w:p>
        </w:tc>
      </w:tr>
      <w:tr>
        <w:trPr>
          <w:trHeight w:val="46" w:hRule="atLeast"/>
          <w:cantSplit w:val="true"/>
        </w:trPr>
        <w:tc>
          <w:tcPr>
            <w:tcW w:w="2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Канализация</w:t>
            </w:r>
            <w:bookmarkStart w:id="87" w:name="__UnoMark__1624_15036446701"/>
            <w:bookmarkStart w:id="88" w:name="__UnoMark__1573_4080806650"/>
            <w:bookmarkEnd w:id="87"/>
            <w:bookmarkEnd w:id="88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нет</w:t>
            </w:r>
            <w:bookmarkStart w:id="89" w:name="__UnoMark__1625_15036446701"/>
            <w:bookmarkStart w:id="90" w:name="__UnoMark__1576_4080806650"/>
            <w:bookmarkEnd w:id="89"/>
            <w:bookmarkEnd w:id="90"/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91" w:name="__UnoMark__1626_15036446701"/>
            <w:bookmarkStart w:id="92" w:name="__UnoMark__1579_4080806650"/>
            <w:bookmarkEnd w:id="91"/>
            <w:bookmarkEnd w:id="92"/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93" w:name="__UnoMark__1627_15036446701"/>
            <w:bookmarkStart w:id="94" w:name="__UnoMark__1584_4080806650"/>
            <w:bookmarkEnd w:id="93"/>
            <w:bookmarkEnd w:id="94"/>
          </w:p>
        </w:tc>
        <w:tc>
          <w:tcPr>
            <w:tcW w:w="17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95" w:name="__UnoMark__1628_15036446701"/>
            <w:bookmarkStart w:id="96" w:name="__UnoMark__1587_4080806650"/>
            <w:bookmarkEnd w:id="95"/>
            <w:bookmarkEnd w:id="96"/>
          </w:p>
        </w:tc>
        <w:tc>
          <w:tcPr>
            <w:tcW w:w="36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97" w:name="__UnoMark__1629_15036446701"/>
            <w:bookmarkStart w:id="98" w:name="__UnoMark__1590_4080806650"/>
            <w:bookmarkEnd w:id="97"/>
            <w:bookmarkEnd w:id="98"/>
          </w:p>
        </w:tc>
      </w:tr>
      <w:tr>
        <w:trPr>
          <w:trHeight w:val="46" w:hRule="atLeast"/>
          <w:cantSplit w:val="true"/>
        </w:trPr>
        <w:tc>
          <w:tcPr>
            <w:tcW w:w="2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Газ</w:t>
            </w:r>
            <w:bookmarkStart w:id="99" w:name="__UnoMark__1630_15036446701"/>
            <w:bookmarkStart w:id="100" w:name="__UnoMark__1593_4080806650"/>
            <w:bookmarkEnd w:id="99"/>
            <w:bookmarkEnd w:id="100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нет</w:t>
            </w:r>
            <w:bookmarkStart w:id="101" w:name="__UnoMark__1631_15036446701"/>
            <w:bookmarkStart w:id="102" w:name="__UnoMark__1596_4080806650"/>
            <w:bookmarkEnd w:id="101"/>
            <w:bookmarkEnd w:id="102"/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103" w:name="__UnoMark__1632_15036446701"/>
            <w:bookmarkStart w:id="104" w:name="__UnoMark__1599_4080806650"/>
            <w:bookmarkEnd w:id="103"/>
            <w:bookmarkEnd w:id="104"/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105" w:name="__UnoMark__1633_15036446701"/>
            <w:bookmarkStart w:id="106" w:name="__UnoMark__1604_4080806650"/>
            <w:bookmarkEnd w:id="105"/>
            <w:bookmarkEnd w:id="106"/>
          </w:p>
        </w:tc>
        <w:tc>
          <w:tcPr>
            <w:tcW w:w="17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107" w:name="__UnoMark__1634_15036446701"/>
            <w:bookmarkStart w:id="108" w:name="__UnoMark__1607_4080806650"/>
            <w:bookmarkEnd w:id="107"/>
            <w:bookmarkEnd w:id="108"/>
          </w:p>
        </w:tc>
        <w:tc>
          <w:tcPr>
            <w:tcW w:w="36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109" w:name="__UnoMark__1635_15036446701"/>
            <w:bookmarkStart w:id="110" w:name="__UnoMark__1610_4080806650"/>
            <w:bookmarkEnd w:id="109"/>
            <w:bookmarkEnd w:id="110"/>
          </w:p>
        </w:tc>
      </w:tr>
      <w:tr>
        <w:trPr>
          <w:trHeight w:val="46" w:hRule="atLeast"/>
          <w:cantSplit w:val="true"/>
        </w:trPr>
        <w:tc>
          <w:tcPr>
            <w:tcW w:w="2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Пар</w:t>
            </w:r>
            <w:bookmarkStart w:id="111" w:name="__UnoMark__1636_15036446701"/>
            <w:bookmarkStart w:id="112" w:name="__UnoMark__1613_4080806650"/>
            <w:bookmarkEnd w:id="111"/>
            <w:bookmarkEnd w:id="112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нет</w:t>
            </w:r>
            <w:bookmarkStart w:id="113" w:name="__UnoMark__1637_15036446701"/>
            <w:bookmarkStart w:id="114" w:name="__UnoMark__1616_4080806650"/>
            <w:bookmarkEnd w:id="113"/>
            <w:bookmarkEnd w:id="114"/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115" w:name="__UnoMark__1638_15036446701"/>
            <w:bookmarkStart w:id="116" w:name="__UnoMark__1619_4080806650"/>
            <w:bookmarkEnd w:id="115"/>
            <w:bookmarkEnd w:id="116"/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117" w:name="__UnoMark__1639_15036446701"/>
            <w:bookmarkStart w:id="118" w:name="__UnoMark__1624_4080806650"/>
            <w:bookmarkEnd w:id="117"/>
            <w:bookmarkEnd w:id="118"/>
          </w:p>
        </w:tc>
        <w:tc>
          <w:tcPr>
            <w:tcW w:w="17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119" w:name="__UnoMark__1640_15036446701"/>
            <w:bookmarkStart w:id="120" w:name="__UnoMark__1627_4080806650"/>
            <w:bookmarkEnd w:id="119"/>
            <w:bookmarkEnd w:id="120"/>
          </w:p>
        </w:tc>
        <w:tc>
          <w:tcPr>
            <w:tcW w:w="36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121" w:name="__UnoMark__1641_15036446701"/>
            <w:bookmarkStart w:id="122" w:name="__UnoMark__1630_4080806650"/>
            <w:bookmarkEnd w:id="121"/>
            <w:bookmarkEnd w:id="122"/>
          </w:p>
        </w:tc>
      </w:tr>
      <w:tr>
        <w:trPr>
          <w:trHeight w:val="360" w:hRule="atLeast"/>
          <w:cantSplit w:val="true"/>
        </w:trPr>
        <w:tc>
          <w:tcPr>
            <w:tcW w:w="2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Очистные сооружения</w:t>
            </w:r>
            <w:bookmarkStart w:id="123" w:name="__UnoMark__1642_15036446701"/>
            <w:bookmarkStart w:id="124" w:name="__UnoMark__1633_4080806650"/>
            <w:bookmarkEnd w:id="123"/>
            <w:bookmarkEnd w:id="124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нет</w:t>
            </w:r>
            <w:bookmarkStart w:id="125" w:name="__UnoMark__1643_15036446701"/>
            <w:bookmarkStart w:id="126" w:name="__UnoMark__1636_4080806650"/>
            <w:bookmarkEnd w:id="125"/>
            <w:bookmarkEnd w:id="126"/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127" w:name="__UnoMark__1644_15036446701"/>
            <w:bookmarkStart w:id="128" w:name="__UnoMark__1639_4080806650"/>
            <w:bookmarkEnd w:id="127"/>
            <w:bookmarkEnd w:id="128"/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  <w:vertAlign w:val="superscript"/>
              </w:rPr>
            </w:pPr>
            <w:r>
              <w:rPr>
                <w:rFonts w:cs="Times New Roman" w:ascii="Times New Roman" w:hAnsi="Times New Roman"/>
                <w:bCs/>
                <w:vertAlign w:val="superscript"/>
              </w:rPr>
            </w:r>
          </w:p>
        </w:tc>
        <w:tc>
          <w:tcPr>
            <w:tcW w:w="1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129" w:name="__UnoMark__1645_15036446701"/>
            <w:bookmarkStart w:id="130" w:name="__UnoMark__1644_4080806650"/>
            <w:bookmarkEnd w:id="129"/>
            <w:bookmarkEnd w:id="130"/>
          </w:p>
        </w:tc>
        <w:tc>
          <w:tcPr>
            <w:tcW w:w="17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131" w:name="__UnoMark__1646_15036446701"/>
            <w:bookmarkStart w:id="132" w:name="__UnoMark__1647_4080806650"/>
            <w:bookmarkEnd w:id="131"/>
            <w:bookmarkEnd w:id="132"/>
          </w:p>
        </w:tc>
        <w:tc>
          <w:tcPr>
            <w:tcW w:w="36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133" w:name="__UnoMark__1647_15036446701"/>
            <w:bookmarkStart w:id="134" w:name="__UnoMark__1650_4080806650"/>
            <w:bookmarkEnd w:id="133"/>
            <w:bookmarkEnd w:id="134"/>
          </w:p>
        </w:tc>
      </w:tr>
      <w:tr>
        <w:trPr>
          <w:trHeight w:val="46" w:hRule="atLeast"/>
          <w:cantSplit w:val="true"/>
        </w:trPr>
        <w:tc>
          <w:tcPr>
            <w:tcW w:w="2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Сжатый воздух</w:t>
            </w:r>
            <w:bookmarkStart w:id="135" w:name="__UnoMark__1648_15036446701"/>
            <w:bookmarkStart w:id="136" w:name="__UnoMark__1653_4080806650"/>
            <w:bookmarkEnd w:id="135"/>
            <w:bookmarkEnd w:id="136"/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нет</w:t>
            </w:r>
            <w:bookmarkStart w:id="137" w:name="__UnoMark__1649_15036446701"/>
            <w:bookmarkStart w:id="138" w:name="__UnoMark__1656_4080806650"/>
            <w:bookmarkEnd w:id="137"/>
            <w:bookmarkEnd w:id="138"/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139" w:name="__UnoMark__1650_15036446701"/>
            <w:bookmarkStart w:id="140" w:name="__UnoMark__1659_4080806650"/>
            <w:bookmarkEnd w:id="139"/>
            <w:bookmarkEnd w:id="140"/>
          </w:p>
        </w:tc>
        <w:tc>
          <w:tcPr>
            <w:tcW w:w="14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141" w:name="__UnoMark__1651_15036446701"/>
            <w:bookmarkStart w:id="142" w:name="__UnoMark__1664_4080806650"/>
            <w:bookmarkEnd w:id="141"/>
            <w:bookmarkEnd w:id="142"/>
          </w:p>
        </w:tc>
        <w:tc>
          <w:tcPr>
            <w:tcW w:w="17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143" w:name="__UnoMark__1652_15036446701"/>
            <w:bookmarkStart w:id="144" w:name="__UnoMark__1667_4080806650"/>
            <w:bookmarkEnd w:id="143"/>
            <w:bookmarkEnd w:id="144"/>
          </w:p>
        </w:tc>
        <w:tc>
          <w:tcPr>
            <w:tcW w:w="36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-</w:t>
            </w:r>
            <w:bookmarkStart w:id="145" w:name="__UnoMark__1653_15036446701"/>
            <w:bookmarkStart w:id="146" w:name="__UnoMark__1670_4080806650"/>
            <w:bookmarkEnd w:id="145"/>
            <w:bookmarkEnd w:id="146"/>
          </w:p>
        </w:tc>
      </w:tr>
      <w:tr>
        <w:trPr>
          <w:trHeight w:val="240" w:hRule="atLeast"/>
          <w:cantSplit w:val="true"/>
        </w:trPr>
        <w:tc>
          <w:tcPr>
            <w:tcW w:w="13725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5. Коммуникации на территории</w:t>
            </w:r>
            <w:bookmarkStart w:id="147" w:name="__UnoMark__1654_15036446701"/>
            <w:bookmarkStart w:id="148" w:name="__UnoMark__1673_4080806650"/>
            <w:bookmarkEnd w:id="147"/>
            <w:bookmarkEnd w:id="148"/>
          </w:p>
        </w:tc>
      </w:tr>
      <w:tr>
        <w:trPr>
          <w:trHeight w:val="46" w:hRule="atLeast"/>
          <w:cantSplit w:val="true"/>
        </w:trPr>
        <w:tc>
          <w:tcPr>
            <w:tcW w:w="789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 xml:space="preserve">Автодороги (тип, покрытие, протяженность и т.д.) </w:t>
            </w:r>
            <w:bookmarkStart w:id="149" w:name="__UnoMark__1655_15036446701"/>
            <w:bookmarkStart w:id="150" w:name="__UnoMark__1676_4080806650"/>
            <w:bookmarkEnd w:id="149"/>
            <w:bookmarkEnd w:id="150"/>
          </w:p>
        </w:tc>
        <w:tc>
          <w:tcPr>
            <w:tcW w:w="5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нет</w:t>
            </w:r>
            <w:bookmarkStart w:id="151" w:name="__UnoMark__1680_4080806650"/>
            <w:bookmarkEnd w:id="151"/>
          </w:p>
        </w:tc>
      </w:tr>
      <w:tr>
        <w:trPr>
          <w:trHeight w:val="46" w:hRule="atLeast"/>
          <w:cantSplit w:val="true"/>
        </w:trPr>
        <w:tc>
          <w:tcPr>
            <w:tcW w:w="789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Ж/д ветка (тип, покрытие, протяженность и т.д.)</w:t>
            </w:r>
            <w:bookmarkStart w:id="152" w:name="__UnoMark__1657_15036446701"/>
            <w:bookmarkStart w:id="153" w:name="__UnoMark__1682_4080806650"/>
            <w:bookmarkEnd w:id="152"/>
            <w:bookmarkEnd w:id="153"/>
          </w:p>
        </w:tc>
        <w:tc>
          <w:tcPr>
            <w:tcW w:w="5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нет</w:t>
            </w:r>
            <w:bookmarkStart w:id="154" w:name="__UnoMark__1686_4080806650"/>
            <w:bookmarkEnd w:id="154"/>
          </w:p>
        </w:tc>
      </w:tr>
      <w:tr>
        <w:trPr>
          <w:trHeight w:val="240" w:hRule="atLeast"/>
          <w:cantSplit w:val="true"/>
        </w:trPr>
        <w:tc>
          <w:tcPr>
            <w:tcW w:w="789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</w:rPr>
              <w:t>Сети телекоммуникаций (телефон, Интернет, иное)</w:t>
            </w:r>
            <w:bookmarkStart w:id="155" w:name="__UnoMark__1659_15036446701"/>
            <w:bookmarkStart w:id="156" w:name="__UnoMark__1688_4080806650"/>
            <w:bookmarkEnd w:id="155"/>
            <w:bookmarkEnd w:id="156"/>
          </w:p>
        </w:tc>
        <w:tc>
          <w:tcPr>
            <w:tcW w:w="58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нет</w:t>
            </w:r>
            <w:bookmarkStart w:id="157" w:name="__UnoMark__1692_4080806650"/>
            <w:bookmarkEnd w:id="157"/>
          </w:p>
        </w:tc>
      </w:tr>
      <w:tr>
        <w:trPr>
          <w:trHeight w:val="240" w:hRule="atLeast"/>
          <w:cantSplit w:val="true"/>
        </w:trPr>
        <w:tc>
          <w:tcPr>
            <w:tcW w:w="13725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6. Здания и сооружения на территории</w:t>
            </w:r>
            <w:bookmarkStart w:id="158" w:name="__UnoMark__1661_15036446701"/>
            <w:bookmarkStart w:id="159" w:name="__UnoMark__1694_4080806650"/>
            <w:bookmarkEnd w:id="158"/>
            <w:bookmarkEnd w:id="159"/>
          </w:p>
        </w:tc>
      </w:tr>
      <w:tr>
        <w:trPr>
          <w:trHeight w:val="1448" w:hRule="atLeast"/>
          <w:cantSplit w:val="true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Наименование</w:t>
            </w:r>
          </w:p>
          <w:p>
            <w:pPr>
              <w:pStyle w:val="Normal"/>
              <w:spacing w:before="0" w:after="0"/>
              <w:jc w:val="center"/>
              <w:rPr/>
            </w:pPr>
            <w:bookmarkStart w:id="160" w:name="__UnoMark__8485_12637360001211"/>
            <w:bookmarkEnd w:id="160"/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объекта</w:t>
            </w:r>
            <w:bookmarkStart w:id="161" w:name="__UnoMark__1663_15036446701"/>
            <w:bookmarkStart w:id="162" w:name="__UnoMark__1698_4080806650"/>
            <w:bookmarkEnd w:id="161"/>
            <w:bookmarkEnd w:id="162"/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Площадь, кв. м</w:t>
            </w:r>
            <w:bookmarkStart w:id="163" w:name="__UnoMark__1664_15036446701"/>
            <w:bookmarkStart w:id="164" w:name="__UnoMark__1701_4080806650"/>
            <w:bookmarkEnd w:id="163"/>
            <w:bookmarkEnd w:id="164"/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Этажность</w:t>
            </w:r>
            <w:bookmarkStart w:id="165" w:name="__UnoMark__1665_15036446701"/>
            <w:bookmarkStart w:id="166" w:name="__UnoMark__1704_4080806650"/>
            <w:bookmarkEnd w:id="165"/>
            <w:bookmarkEnd w:id="166"/>
          </w:p>
        </w:tc>
        <w:tc>
          <w:tcPr>
            <w:tcW w:w="1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Высота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потолка,</w:t>
            </w:r>
          </w:p>
          <w:p>
            <w:pPr>
              <w:pStyle w:val="Normal"/>
              <w:spacing w:before="0" w:after="0"/>
              <w:jc w:val="center"/>
              <w:rPr/>
            </w:pPr>
            <w:bookmarkStart w:id="167" w:name="__UnoMark__8491_12637360001211"/>
            <w:bookmarkEnd w:id="167"/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м</w:t>
            </w:r>
            <w:bookmarkStart w:id="168" w:name="__UnoMark__1667_15036446701"/>
            <w:bookmarkStart w:id="169" w:name="__UnoMark__1708_4080806650"/>
            <w:bookmarkEnd w:id="168"/>
            <w:bookmarkEnd w:id="169"/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Тип</w:t>
            </w:r>
          </w:p>
          <w:p>
            <w:pPr>
              <w:pStyle w:val="Normal"/>
              <w:spacing w:before="0" w:after="0"/>
              <w:jc w:val="center"/>
              <w:rPr/>
            </w:pPr>
            <w:bookmarkStart w:id="170" w:name="__UnoMark__8493_12637360001211"/>
            <w:bookmarkEnd w:id="170"/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конструкций, стен</w:t>
            </w:r>
            <w:bookmarkStart w:id="171" w:name="__UnoMark__1669_15036446701"/>
            <w:bookmarkStart w:id="172" w:name="__UnoMark__1712_4080806650"/>
            <w:bookmarkEnd w:id="171"/>
            <w:bookmarkEnd w:id="172"/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Степень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 xml:space="preserve">завершенности, 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% или</w:t>
            </w:r>
          </w:p>
          <w:p>
            <w:pPr>
              <w:pStyle w:val="Normal"/>
              <w:spacing w:before="0" w:after="0"/>
              <w:jc w:val="center"/>
              <w:rPr/>
            </w:pPr>
            <w:bookmarkStart w:id="173" w:name="__UnoMark__8495_12637360001211"/>
            <w:bookmarkEnd w:id="173"/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иное</w:t>
            </w:r>
            <w:bookmarkStart w:id="174" w:name="__UnoMark__1671_15036446701"/>
            <w:bookmarkStart w:id="175" w:name="__UnoMark__1716_4080806650"/>
            <w:bookmarkEnd w:id="174"/>
            <w:bookmarkEnd w:id="175"/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Год постройки</w:t>
            </w:r>
          </w:p>
          <w:p>
            <w:pPr>
              <w:pStyle w:val="Normal"/>
              <w:spacing w:before="0" w:after="0"/>
              <w:jc w:val="center"/>
              <w:rPr/>
            </w:pPr>
            <w:bookmarkStart w:id="176" w:name="__UnoMark__8497_12637360001211"/>
            <w:bookmarkEnd w:id="176"/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и оценка текущего состояния</w:t>
            </w:r>
            <w:bookmarkStart w:id="177" w:name="__UnoMark__1673_15036446701"/>
            <w:bookmarkStart w:id="178" w:name="__UnoMark__1720_4080806650"/>
            <w:bookmarkEnd w:id="177"/>
            <w:bookmarkEnd w:id="178"/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Как используется в настоящее время, % или иное</w:t>
            </w:r>
            <w:bookmarkStart w:id="179" w:name="__UnoMark__1674_15036446701"/>
            <w:bookmarkStart w:id="180" w:name="__UnoMark__1723_4080806650"/>
            <w:bookmarkEnd w:id="179"/>
            <w:bookmarkEnd w:id="180"/>
          </w:p>
        </w:tc>
      </w:tr>
      <w:tr>
        <w:trPr>
          <w:trHeight w:val="46" w:hRule="atLeast"/>
          <w:cantSplit w:val="true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Cs/>
              </w:rPr>
              <w:t>нет</w:t>
            </w:r>
            <w:bookmarkStart w:id="181" w:name="__UnoMark__1726_4080806650"/>
            <w:bookmarkEnd w:id="181"/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</w:tr>
      <w:tr>
        <w:trPr>
          <w:trHeight w:val="46" w:hRule="atLeast"/>
          <w:cantSplit w:val="true"/>
        </w:trPr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6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1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2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cs="Times New Roman" w:ascii="Times New Roman" w:hAnsi="Times New Roman"/>
                <w:bCs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13725" w:type="dxa"/>
            <w:gridSpan w:val="1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7. Условия передачи площадки (условия аренды или продажи (примерная стоимость)</w:t>
            </w:r>
          </w:p>
        </w:tc>
      </w:tr>
      <w:tr>
        <w:trPr>
          <w:trHeight w:val="240" w:hRule="atLeast"/>
          <w:cantSplit w:val="true"/>
        </w:trPr>
        <w:tc>
          <w:tcPr>
            <w:tcW w:w="13725" w:type="dxa"/>
            <w:gridSpan w:val="1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left"/>
              <w:rPr/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Условия передачи площадки (условия аренды или продажи (примерная стоимость)</w:t>
            </w:r>
            <w:bookmarkStart w:id="182" w:name="__UnoMark__1675_150364467011"/>
            <w:bookmarkStart w:id="183" w:name="__UnoMark__2216_4080806650"/>
            <w:bookmarkEnd w:id="182"/>
            <w:bookmarkEnd w:id="183"/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 xml:space="preserve">Условия передачи — аренда. Кадастровая стоимость 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 xml:space="preserve">545859,80 </w:t>
            </w: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руб. Арендная плата за использование земельных участков исчисляется из кадастровой стоимости земельных участков и ставок арендной платы в соответствии с видом разрешенного использования, установленных решением Думы Анучинского муниципального района от 27.05.2015 г. № 640-НПА « О порядке определения размера арендной платы, условий и сроков внесения арендной платы за земельные участки, находящиеся в муниципальной собственности Анучинского муниципального района и предоставленные в аренду без торгов», в, решением думы Анучинского муниципального района от 22.02.2017 г. №-173-НПА «О Положении о порядке определения размера начальной цены предмета аукциона на право заключения договора аренды земельных участков, находящихся в собственности или ведении Анучинского муниципального района».</w:t>
            </w:r>
          </w:p>
        </w:tc>
      </w:tr>
      <w:tr>
        <w:trPr>
          <w:trHeight w:val="240" w:hRule="atLeast"/>
          <w:cantSplit w:val="true"/>
        </w:trPr>
        <w:tc>
          <w:tcPr>
            <w:tcW w:w="13725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8. Пояснительная записка к паспорту инвестиционной площадки</w:t>
            </w:r>
            <w:bookmarkStart w:id="184" w:name="__UnoMark__1681_15036446701"/>
            <w:bookmarkStart w:id="185" w:name="__UnoMark__1771_4080806650"/>
            <w:bookmarkEnd w:id="184"/>
            <w:bookmarkEnd w:id="185"/>
          </w:p>
        </w:tc>
      </w:tr>
      <w:tr>
        <w:trPr>
          <w:trHeight w:val="240" w:hRule="atLeast"/>
          <w:cantSplit w:val="true"/>
        </w:trPr>
        <w:tc>
          <w:tcPr>
            <w:tcW w:w="13725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13725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9. Ситуационный план территории (выкопировка)</w:t>
            </w:r>
            <w:bookmarkStart w:id="186" w:name="__UnoMark__1682_15036446701"/>
            <w:bookmarkStart w:id="187" w:name="__UnoMark__1776_4080806650"/>
            <w:bookmarkEnd w:id="186"/>
            <w:bookmarkEnd w:id="187"/>
          </w:p>
        </w:tc>
      </w:tr>
      <w:tr>
        <w:trPr>
          <w:trHeight w:val="240" w:hRule="atLeast"/>
          <w:cantSplit w:val="true"/>
        </w:trPr>
        <w:tc>
          <w:tcPr>
            <w:tcW w:w="13725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13725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10. Не менее двух фотографий территории (участка)</w:t>
            </w:r>
          </w:p>
          <w:p>
            <w:pPr>
              <w:pStyle w:val="Normal"/>
              <w:spacing w:before="0" w:after="0"/>
              <w:jc w:val="both"/>
              <w:rPr/>
            </w:pPr>
            <w:r>
              <w:rPr>
                <w:rFonts w:cs="Times New Roman" w:ascii="Times New Roman" w:hAnsi="Times New Roman"/>
                <w:bCs/>
                <w:color w:val="C9211E"/>
                <w:sz w:val="24"/>
                <w:szCs w:val="24"/>
              </w:rPr>
              <w:t>Заявитель представляет фотографии инвестиционной площадки на местности на бумажном носителе (на листе формата А4 должно быть расположено не более 2-х цветных фотографий, размерами не менее 10 х 15 см) и в электронном варианте (формат JPG, цветные, не более 20 х 30 см (2362 х 3543 пикселя), но не менее 10 х 15 см (1181 х 1772 пикселя)). В случае наличия на инвестиционной площадке недвижимого имущества заявитель также представляет фотографии объекта (объектов) со всех сторон, а также внутренних помещений (количество - не менее 2 шт. на каждую сторону объекта или помещения).</w:t>
            </w:r>
          </w:p>
        </w:tc>
      </w:tr>
    </w:tbl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Cs/>
          <w:sz w:val="24"/>
          <w:szCs w:val="24"/>
        </w:rPr>
        <w:t xml:space="preserve">       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Cs/>
          <w:sz w:val="24"/>
          <w:szCs w:val="24"/>
        </w:rPr>
        <w:t xml:space="preserve">        </w:t>
      </w:r>
      <w:r>
        <w:rPr>
          <w:rFonts w:cs="Times New Roman" w:ascii="Times New Roman" w:hAnsi="Times New Roman"/>
          <w:bCs/>
          <w:sz w:val="24"/>
          <w:szCs w:val="24"/>
        </w:rPr>
        <w:t>Глава Анучинского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Cs/>
          <w:sz w:val="24"/>
          <w:szCs w:val="24"/>
        </w:rPr>
        <w:t xml:space="preserve">        </w:t>
      </w:r>
      <w:r>
        <w:rPr>
          <w:rFonts w:cs="Times New Roman" w:ascii="Times New Roman" w:hAnsi="Times New Roman"/>
          <w:bCs/>
          <w:sz w:val="24"/>
          <w:szCs w:val="24"/>
        </w:rPr>
        <w:t xml:space="preserve">муниципального района                                                              С.А. Понуровский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Cs/>
          <w:sz w:val="20"/>
          <w:szCs w:val="20"/>
        </w:rPr>
        <w:t xml:space="preserve">         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/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/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/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/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/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bCs/>
          <w:sz w:val="20"/>
          <w:szCs w:val="20"/>
        </w:rPr>
        <w:t xml:space="preserve">         </w:t>
      </w:r>
      <w:r>
        <w:rPr>
          <w:rFonts w:cs="Times New Roman" w:ascii="Times New Roman" w:hAnsi="Times New Roman"/>
          <w:bCs/>
          <w:sz w:val="20"/>
          <w:szCs w:val="20"/>
        </w:rPr>
        <w:t>Исполнитель:Ткаченко Зоя  Владимировна</w:t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  <w:bCs/>
          <w:sz w:val="20"/>
          <w:szCs w:val="20"/>
        </w:rPr>
        <w:t xml:space="preserve">         </w:t>
      </w:r>
      <w:r>
        <w:rPr>
          <w:rFonts w:cs="Times New Roman" w:ascii="Times New Roman" w:hAnsi="Times New Roman"/>
          <w:bCs/>
          <w:sz w:val="20"/>
          <w:szCs w:val="20"/>
        </w:rPr>
        <w:t>тел. 842362 91265</w:t>
      </w:r>
    </w:p>
    <w:p>
      <w:pPr>
        <w:pStyle w:val="Normal"/>
        <w:spacing w:before="0" w:after="0"/>
        <w:rPr/>
      </w:pPr>
      <w:r>
        <w:rPr/>
      </w:r>
    </w:p>
    <w:sectPr>
      <w:type w:val="nextPage"/>
      <w:pgSz w:orient="landscape" w:w="16838" w:h="11906"/>
      <w:pgMar w:left="1134" w:right="1134" w:header="0" w:top="426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357da0"/>
    <w:rPr>
      <w:color w:val="0000FF" w:themeColor="hyperlink"/>
      <w:u w:val="single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character" w:styleId="ListLabel28">
    <w:name w:val="ListLabel 28"/>
    <w:qFormat/>
    <w:rPr>
      <w:rFonts w:cs="Times New Roman"/>
    </w:rPr>
  </w:style>
  <w:style w:type="character" w:styleId="ListLabel29">
    <w:name w:val="ListLabel 29"/>
    <w:qFormat/>
    <w:rPr>
      <w:rFonts w:cs="Times New Roman"/>
    </w:rPr>
  </w:style>
  <w:style w:type="character" w:styleId="ListLabel30">
    <w:name w:val="ListLabel 30"/>
    <w:qFormat/>
    <w:rPr>
      <w:rFonts w:cs="Times New Roman"/>
    </w:rPr>
  </w:style>
  <w:style w:type="character" w:styleId="ListLabel31">
    <w:name w:val="ListLabel 31"/>
    <w:qFormat/>
    <w:rPr>
      <w:rFonts w:cs="Times New Roman"/>
    </w:rPr>
  </w:style>
  <w:style w:type="character" w:styleId="ListLabel32">
    <w:name w:val="ListLabel 32"/>
    <w:qFormat/>
    <w:rPr>
      <w:rFonts w:cs="Times New Roman"/>
    </w:rPr>
  </w:style>
  <w:style w:type="character" w:styleId="ListLabel33">
    <w:name w:val="ListLabel 33"/>
    <w:qFormat/>
    <w:rPr>
      <w:rFonts w:cs="Times New Roman"/>
    </w:rPr>
  </w:style>
  <w:style w:type="character" w:styleId="ListLabel34">
    <w:name w:val="ListLabel 34"/>
    <w:qFormat/>
    <w:rPr>
      <w:rFonts w:cs="Times New Roman"/>
    </w:rPr>
  </w:style>
  <w:style w:type="character" w:styleId="ListLabel35">
    <w:name w:val="ListLabel 35"/>
    <w:qFormat/>
    <w:rPr>
      <w:rFonts w:cs="Times New Roman"/>
    </w:rPr>
  </w:style>
  <w:style w:type="character" w:styleId="ListLabel36">
    <w:name w:val="ListLabel 36"/>
    <w:qFormat/>
    <w:rPr>
      <w:rFonts w:cs="Times New Roman"/>
    </w:rPr>
  </w:style>
  <w:style w:type="character" w:styleId="ListLabel37">
    <w:name w:val="ListLabel 37"/>
    <w:qFormat/>
    <w:rPr>
      <w:rFonts w:cs="Times New Roman"/>
    </w:rPr>
  </w:style>
  <w:style w:type="character" w:styleId="ListLabel38">
    <w:name w:val="ListLabel 38"/>
    <w:qFormat/>
    <w:rPr>
      <w:rFonts w:cs="Times New Roman"/>
    </w:rPr>
  </w:style>
  <w:style w:type="character" w:styleId="ListLabel39">
    <w:name w:val="ListLabel 39"/>
    <w:qFormat/>
    <w:rPr>
      <w:rFonts w:cs="Times New Roman"/>
    </w:rPr>
  </w:style>
  <w:style w:type="character" w:styleId="ListLabel40">
    <w:name w:val="ListLabel 40"/>
    <w:qFormat/>
    <w:rPr>
      <w:rFonts w:cs="Times New Roman"/>
    </w:rPr>
  </w:style>
  <w:style w:type="character" w:styleId="ListLabel41">
    <w:name w:val="ListLabel 41"/>
    <w:qFormat/>
    <w:rPr>
      <w:rFonts w:cs="Times New Roman"/>
    </w:rPr>
  </w:style>
  <w:style w:type="character" w:styleId="ListLabel42">
    <w:name w:val="ListLabel 42"/>
    <w:qFormat/>
    <w:rPr>
      <w:rFonts w:cs="Times New Roman"/>
    </w:rPr>
  </w:style>
  <w:style w:type="character" w:styleId="ListLabel43">
    <w:name w:val="ListLabel 43"/>
    <w:qFormat/>
    <w:rPr>
      <w:rFonts w:cs="Times New Roman"/>
    </w:rPr>
  </w:style>
  <w:style w:type="character" w:styleId="ListLabel44">
    <w:name w:val="ListLabel 44"/>
    <w:qFormat/>
    <w:rPr>
      <w:rFonts w:cs="Times New Roman"/>
    </w:rPr>
  </w:style>
  <w:style w:type="character" w:styleId="ListLabel45">
    <w:name w:val="ListLabel 45"/>
    <w:qFormat/>
    <w:rPr>
      <w:rFonts w:cs="Times New Roman"/>
    </w:rPr>
  </w:style>
  <w:style w:type="character" w:styleId="ListLabel46">
    <w:name w:val="ListLabel 46"/>
    <w:qFormat/>
    <w:rPr>
      <w:rFonts w:cs="Times New Roman"/>
    </w:rPr>
  </w:style>
  <w:style w:type="character" w:styleId="ListLabel47">
    <w:name w:val="ListLabel 47"/>
    <w:qFormat/>
    <w:rPr>
      <w:rFonts w:cs="Times New Roman"/>
    </w:rPr>
  </w:style>
  <w:style w:type="character" w:styleId="ListLabel48">
    <w:name w:val="ListLabel 48"/>
    <w:qFormat/>
    <w:rPr>
      <w:rFonts w:cs="Times New Roman"/>
    </w:rPr>
  </w:style>
  <w:style w:type="character" w:styleId="ListLabel49">
    <w:name w:val="ListLabel 49"/>
    <w:qFormat/>
    <w:rPr>
      <w:rFonts w:cs="Times New Roman"/>
    </w:rPr>
  </w:style>
  <w:style w:type="character" w:styleId="ListLabel50">
    <w:name w:val="ListLabel 50"/>
    <w:qFormat/>
    <w:rPr>
      <w:rFonts w:cs="Times New Roman"/>
    </w:rPr>
  </w:style>
  <w:style w:type="character" w:styleId="ListLabel51">
    <w:name w:val="ListLabel 51"/>
    <w:qFormat/>
    <w:rPr>
      <w:rFonts w:cs="Times New Roman"/>
    </w:rPr>
  </w:style>
  <w:style w:type="character" w:styleId="ListLabel52">
    <w:name w:val="ListLabel 52"/>
    <w:qFormat/>
    <w:rPr>
      <w:rFonts w:cs="Times New Roman"/>
    </w:rPr>
  </w:style>
  <w:style w:type="character" w:styleId="ListLabel53">
    <w:name w:val="ListLabel 53"/>
    <w:qFormat/>
    <w:rPr>
      <w:rFonts w:cs="Times New Roman"/>
    </w:rPr>
  </w:style>
  <w:style w:type="character" w:styleId="ListLabel54">
    <w:name w:val="ListLabel 54"/>
    <w:qFormat/>
    <w:rPr>
      <w:rFonts w:cs="Times New Roman"/>
    </w:rPr>
  </w:style>
  <w:style w:type="character" w:styleId="ListLabel55">
    <w:name w:val="ListLabel 55"/>
    <w:qFormat/>
    <w:rPr>
      <w:rFonts w:cs="Times New Roman"/>
    </w:rPr>
  </w:style>
  <w:style w:type="character" w:styleId="ListLabel56">
    <w:name w:val="ListLabel 56"/>
    <w:qFormat/>
    <w:rPr>
      <w:rFonts w:cs="Times New Roman"/>
    </w:rPr>
  </w:style>
  <w:style w:type="character" w:styleId="ListLabel57">
    <w:name w:val="ListLabel 57"/>
    <w:qFormat/>
    <w:rPr>
      <w:rFonts w:cs="Times New Roman"/>
    </w:rPr>
  </w:style>
  <w:style w:type="character" w:styleId="ListLabel58">
    <w:name w:val="ListLabel 58"/>
    <w:qFormat/>
    <w:rPr>
      <w:rFonts w:cs="Times New Roman"/>
    </w:rPr>
  </w:style>
  <w:style w:type="character" w:styleId="ListLabel59">
    <w:name w:val="ListLabel 59"/>
    <w:qFormat/>
    <w:rPr>
      <w:rFonts w:cs="Times New Roman"/>
    </w:rPr>
  </w:style>
  <w:style w:type="character" w:styleId="ListLabel60">
    <w:name w:val="ListLabel 60"/>
    <w:qFormat/>
    <w:rPr>
      <w:rFonts w:cs="Times New Roman"/>
    </w:rPr>
  </w:style>
  <w:style w:type="character" w:styleId="ListLabel61">
    <w:name w:val="ListLabel 61"/>
    <w:qFormat/>
    <w:rPr>
      <w:rFonts w:cs="Times New Roman"/>
    </w:rPr>
  </w:style>
  <w:style w:type="character" w:styleId="ListLabel62">
    <w:name w:val="ListLabel 62"/>
    <w:qFormat/>
    <w:rPr>
      <w:rFonts w:cs="Times New Roman"/>
    </w:rPr>
  </w:style>
  <w:style w:type="character" w:styleId="ListLabel63">
    <w:name w:val="ListLabel 63"/>
    <w:qFormat/>
    <w:rPr>
      <w:rFonts w:cs="Times New Roman"/>
    </w:rPr>
  </w:style>
  <w:style w:type="character" w:styleId="ListLabel64">
    <w:name w:val="ListLabel 64"/>
    <w:qFormat/>
    <w:rPr>
      <w:rFonts w:cs="Times New Roman"/>
    </w:rPr>
  </w:style>
  <w:style w:type="character" w:styleId="ListLabel65">
    <w:name w:val="ListLabel 65"/>
    <w:qFormat/>
    <w:rPr>
      <w:rFonts w:cs="Times New Roman"/>
    </w:rPr>
  </w:style>
  <w:style w:type="character" w:styleId="ListLabel66">
    <w:name w:val="ListLabel 66"/>
    <w:qFormat/>
    <w:rPr>
      <w:rFonts w:cs="Times New Roman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Times New Roman"/>
    </w:rPr>
  </w:style>
  <w:style w:type="character" w:styleId="ListLabel71">
    <w:name w:val="ListLabel 71"/>
    <w:qFormat/>
    <w:rPr>
      <w:rFonts w:cs="Times New Roman"/>
    </w:rPr>
  </w:style>
  <w:style w:type="character" w:styleId="ListLabel72">
    <w:name w:val="ListLabel 72"/>
    <w:qFormat/>
    <w:rPr>
      <w:rFonts w:cs="Times New Roman"/>
    </w:rPr>
  </w:style>
  <w:style w:type="character" w:styleId="ListLabel73">
    <w:name w:val="ListLabel 73"/>
    <w:qFormat/>
    <w:rPr>
      <w:rFonts w:cs="Times New Roman"/>
    </w:rPr>
  </w:style>
  <w:style w:type="character" w:styleId="ListLabel74">
    <w:name w:val="ListLabel 74"/>
    <w:qFormat/>
    <w:rPr>
      <w:rFonts w:cs="Times New Roman"/>
    </w:rPr>
  </w:style>
  <w:style w:type="character" w:styleId="ListLabel75">
    <w:name w:val="ListLabel 75"/>
    <w:qFormat/>
    <w:rPr>
      <w:rFonts w:cs="Times New Roman"/>
    </w:rPr>
  </w:style>
  <w:style w:type="character" w:styleId="ListLabel76">
    <w:name w:val="ListLabel 76"/>
    <w:qFormat/>
    <w:rPr>
      <w:rFonts w:cs="Times New Roman"/>
    </w:rPr>
  </w:style>
  <w:style w:type="character" w:styleId="ListLabel77">
    <w:name w:val="ListLabel 77"/>
    <w:qFormat/>
    <w:rPr>
      <w:rFonts w:cs="Times New Roman"/>
    </w:rPr>
  </w:style>
  <w:style w:type="character" w:styleId="ListLabel78">
    <w:name w:val="ListLabel 78"/>
    <w:qFormat/>
    <w:rPr>
      <w:rFonts w:cs="Times New Roman"/>
    </w:rPr>
  </w:style>
  <w:style w:type="character" w:styleId="ListLabel79">
    <w:name w:val="ListLabel 79"/>
    <w:qFormat/>
    <w:rPr>
      <w:rFonts w:cs="Times New Roman"/>
    </w:rPr>
  </w:style>
  <w:style w:type="character" w:styleId="ListLabel80">
    <w:name w:val="ListLabel 80"/>
    <w:qFormat/>
    <w:rPr>
      <w:rFonts w:cs="Times New Roman"/>
    </w:rPr>
  </w:style>
  <w:style w:type="character" w:styleId="ListLabel81">
    <w:name w:val="ListLabel 81"/>
    <w:qFormat/>
    <w:rPr>
      <w:rFonts w:cs="Times New Roman"/>
    </w:rPr>
  </w:style>
  <w:style w:type="character" w:styleId="ListLabel82">
    <w:name w:val="ListLabel 82"/>
    <w:qFormat/>
    <w:rPr>
      <w:rFonts w:cs="Times New Roman"/>
    </w:rPr>
  </w:style>
  <w:style w:type="character" w:styleId="ListLabel83">
    <w:name w:val="ListLabel 83"/>
    <w:qFormat/>
    <w:rPr>
      <w:rFonts w:cs="Times New Roman"/>
    </w:rPr>
  </w:style>
  <w:style w:type="character" w:styleId="ListLabel84">
    <w:name w:val="ListLabel 84"/>
    <w:qFormat/>
    <w:rPr>
      <w:rFonts w:cs="Times New Roman"/>
    </w:rPr>
  </w:style>
  <w:style w:type="character" w:styleId="ListLabel85">
    <w:name w:val="ListLabel 85"/>
    <w:qFormat/>
    <w:rPr>
      <w:rFonts w:cs="Times New Roman"/>
    </w:rPr>
  </w:style>
  <w:style w:type="character" w:styleId="ListLabel86">
    <w:name w:val="ListLabel 86"/>
    <w:qFormat/>
    <w:rPr>
      <w:rFonts w:cs="Times New Roman"/>
    </w:rPr>
  </w:style>
  <w:style w:type="character" w:styleId="ListLabel87">
    <w:name w:val="ListLabel 87"/>
    <w:qFormat/>
    <w:rPr>
      <w:rFonts w:cs="Times New Roman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Droid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Droid Sans Devanagari"/>
    </w:rPr>
  </w:style>
  <w:style w:type="paragraph" w:styleId="ListParagraph">
    <w:name w:val="List Paragraph"/>
    <w:basedOn w:val="Normal"/>
    <w:uiPriority w:val="34"/>
    <w:qFormat/>
    <w:rsid w:val="000b4771"/>
    <w:pPr>
      <w:spacing w:before="0" w:after="200"/>
      <w:ind w:left="720" w:hanging="0"/>
      <w:contextualSpacing/>
    </w:pPr>
    <w:rPr/>
  </w:style>
  <w:style w:type="paragraph" w:styleId="Style20">
    <w:name w:val="Содержимое врезки"/>
    <w:basedOn w:val="Normal"/>
    <w:qFormat/>
    <w:pPr/>
    <w:rPr/>
  </w:style>
  <w:style w:type="paragraph" w:styleId="Style21">
    <w:name w:val="Содержимое таблицы"/>
    <w:basedOn w:val="Normal"/>
    <w:qFormat/>
    <w:pPr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1d4d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Application>LibreOffice/6.2.8.2$Linux_X86_64 LibreOffice_project/20$Build-2</Application>
  <Pages>6</Pages>
  <Words>1199</Words>
  <Characters>7935</Characters>
  <CharactersWithSpaces>8990</CharactersWithSpaces>
  <Paragraphs>320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2019-04-12T07:51:00Z</dcterms:created>
  <dc:creator>Антонина Ефимова</dc:creator>
  <dc:description/>
  <dc:language>ru-RU</dc:language>
  <cp:lastModifiedBy/>
  <cp:lastPrinted>2020-03-03T09:22:55Z</cp:lastPrinted>
  <dcterms:modified xsi:type="dcterms:W3CDTF">2020-03-03T09:39:32Z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