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C99D2">
      <w:pPr>
        <w:shd w:val="clear" w:color="auto" w:fill="FFFFFF"/>
        <w:jc w:val="center"/>
        <w:rPr>
          <w:color w:val="000000"/>
          <w:sz w:val="18"/>
        </w:rPr>
      </w:pPr>
    </w:p>
    <w:p w14:paraId="0240A19E">
      <w:pPr>
        <w:shd w:val="clear" w:color="auto" w:fill="FFFFFF"/>
        <w:jc w:val="center"/>
        <w:rPr>
          <w:color w:val="000000"/>
          <w:sz w:val="18"/>
        </w:rPr>
      </w:pPr>
      <w: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D5D0E">
      <w:pPr>
        <w:shd w:val="clear" w:color="auto" w:fill="FFFFFF"/>
        <w:spacing w:before="227" w:after="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</w:t>
      </w:r>
      <w:r>
        <w:rPr>
          <w:b/>
          <w:color w:val="000000"/>
          <w:spacing w:val="20"/>
          <w:sz w:val="32"/>
        </w:rPr>
        <w:br w:type="textWrapping"/>
      </w:r>
      <w:r>
        <w:rPr>
          <w:b/>
          <w:color w:val="000000"/>
          <w:spacing w:val="20"/>
          <w:sz w:val="32"/>
        </w:rPr>
        <w:t>АНУЧИНСКОГО МУНИЦИПАЛЬНОГО ОКРУГА ПРИМОРСКОГО КРАЯ</w:t>
      </w:r>
    </w:p>
    <w:p w14:paraId="087A416F">
      <w:pPr>
        <w:pStyle w:val="2"/>
        <w:rPr>
          <w:b w:val="0"/>
          <w:bCs w:val="0"/>
          <w:sz w:val="32"/>
          <w:szCs w:val="32"/>
        </w:rPr>
      </w:pPr>
    </w:p>
    <w:p w14:paraId="67C5A6E7">
      <w:pPr>
        <w:pStyle w:val="2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 А С П О Р Я Ж Е Н И Е</w:t>
      </w:r>
    </w:p>
    <w:p w14:paraId="40441CF7">
      <w:pPr>
        <w:shd w:val="clear" w:color="auto" w:fill="FFFFFF"/>
        <w:jc w:val="center"/>
        <w:rPr>
          <w:color w:val="000000"/>
          <w:sz w:val="16"/>
        </w:rPr>
      </w:pPr>
    </w:p>
    <w:p w14:paraId="0196F974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7"/>
        <w:tblW w:w="92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"/>
        <w:gridCol w:w="2080"/>
        <w:gridCol w:w="134"/>
        <w:gridCol w:w="4889"/>
        <w:gridCol w:w="564"/>
        <w:gridCol w:w="1313"/>
      </w:tblGrid>
      <w:tr w14:paraId="5E25A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90" w:type="dxa"/>
            <w:shd w:val="clear" w:color="auto" w:fill="auto"/>
          </w:tcPr>
          <w:p w14:paraId="4CD2234D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2080" w:type="dxa"/>
            <w:tcBorders>
              <w:bottom w:val="single" w:color="000000" w:sz="6" w:space="0"/>
            </w:tcBorders>
            <w:shd w:val="clear" w:color="auto" w:fill="auto"/>
          </w:tcPr>
          <w:p w14:paraId="0A294A2A">
            <w:pPr>
              <w:widowControl w:val="0"/>
              <w:ind w:left="-82" w:right="-108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6439777F">
            <w:pPr>
              <w:widowControl w:val="0"/>
              <w:ind w:left="-82" w:right="-108" w:firstLine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29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мая</w:t>
            </w:r>
            <w:r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6 </w:t>
            </w:r>
            <w:r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134" w:type="dxa"/>
            <w:shd w:val="clear" w:color="auto" w:fill="auto"/>
          </w:tcPr>
          <w:p w14:paraId="200995B3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4889" w:type="dxa"/>
            <w:shd w:val="clear" w:color="auto" w:fill="auto"/>
          </w:tcPr>
          <w:p w14:paraId="0FF027E9">
            <w:pPr>
              <w:widowControl w:val="0"/>
              <w:ind w:left="-675" w:firstLine="0"/>
              <w:jc w:val="center"/>
            </w:pPr>
          </w:p>
          <w:p w14:paraId="342B1939">
            <w:pPr>
              <w:widowControl w:val="0"/>
              <w:tabs>
                <w:tab w:val="left" w:pos="1365"/>
              </w:tabs>
              <w:ind w:left="-675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4" w:type="dxa"/>
            <w:shd w:val="clear" w:color="auto" w:fill="auto"/>
          </w:tcPr>
          <w:p w14:paraId="009CBF26">
            <w:pPr>
              <w:widowControl w:val="0"/>
              <w:jc w:val="center"/>
              <w:rPr>
                <w:color w:val="000000"/>
              </w:rPr>
            </w:pPr>
          </w:p>
          <w:p w14:paraId="3CE9C2C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13" w:type="dxa"/>
            <w:tcBorders>
              <w:bottom w:val="single" w:color="000000" w:sz="6" w:space="0"/>
            </w:tcBorders>
            <w:shd w:val="clear" w:color="auto" w:fill="auto"/>
          </w:tcPr>
          <w:p w14:paraId="07FF70EF">
            <w:pPr>
              <w:widowControl w:val="0"/>
              <w:ind w:right="-89" w:firstLine="0"/>
              <w:jc w:val="center"/>
              <w:rPr>
                <w:color w:val="000000"/>
                <w:sz w:val="28"/>
                <w:szCs w:val="28"/>
              </w:rPr>
            </w:pPr>
          </w:p>
          <w:p w14:paraId="4058FE39">
            <w:pPr>
              <w:widowControl w:val="0"/>
              <w:ind w:right="-89"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alibri"/>
                <w:b w:val="0"/>
                <w:bCs/>
                <w:sz w:val="28"/>
                <w:szCs w:val="28"/>
                <w:lang w:val="ru-RU"/>
              </w:rPr>
              <w:t>№ 348-ра</w:t>
            </w:r>
            <w:bookmarkStart w:id="1" w:name="_GoBack"/>
            <w:bookmarkEnd w:id="1"/>
          </w:p>
        </w:tc>
      </w:tr>
    </w:tbl>
    <w:p w14:paraId="0314F09F">
      <w:pPr>
        <w:shd w:val="clear" w:color="auto" w:fill="FFFFFF"/>
        <w:rPr>
          <w:b/>
          <w:color w:val="000000"/>
          <w:sz w:val="32"/>
          <w:szCs w:val="32"/>
        </w:rPr>
      </w:pPr>
    </w:p>
    <w:p w14:paraId="7845E325">
      <w:pPr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sz w:val="28"/>
        </w:rPr>
        <w:t>Об ответственном за организацию обработки персональных данных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  </w:t>
      </w:r>
    </w:p>
    <w:p w14:paraId="05F832EC">
      <w:pPr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24A02368">
      <w:pPr>
        <w:pStyle w:val="28"/>
        <w:spacing w:line="360" w:lineRule="auto"/>
        <w:jc w:val="both"/>
        <w:rPr>
          <w:sz w:val="24"/>
          <w:szCs w:val="24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sz w:val="24"/>
          <w:szCs w:val="24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в целях выполнения требований Федерального закона от 27 июля 2006 г. № 152-ФЗ </w:t>
      </w:r>
      <w:r>
        <w:rPr>
          <w:rStyle w:val="29"/>
          <w:sz w:val="24"/>
          <w:szCs w:val="24"/>
        </w:rPr>
        <w:t>«</w:t>
      </w:r>
      <w:r>
        <w:rPr>
          <w:sz w:val="24"/>
          <w:szCs w:val="24"/>
        </w:rPr>
        <w:t>О персональных данных</w:t>
      </w:r>
      <w:r>
        <w:rPr>
          <w:rStyle w:val="29"/>
          <w:sz w:val="24"/>
          <w:szCs w:val="24"/>
        </w:rPr>
        <w:t>», постановления Правительства Российской Федерации от </w:t>
      </w:r>
      <w:r>
        <w:rPr>
          <w:sz w:val="24"/>
          <w:szCs w:val="24"/>
        </w:rPr>
        <w:t>21 марта 2012 г.</w:t>
      </w:r>
      <w:r>
        <w:rPr>
          <w:rStyle w:val="29"/>
          <w:sz w:val="24"/>
          <w:szCs w:val="24"/>
        </w:rPr>
        <w:t xml:space="preserve"> № 211 «Об утверждении перечня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rPr>
          <w:rStyle w:val="30"/>
          <w:rFonts w:eastAsiaTheme="minorHAnsi"/>
          <w:sz w:val="24"/>
          <w:szCs w:val="24"/>
        </w:rPr>
        <w:t>:</w:t>
      </w:r>
    </w:p>
    <w:p w14:paraId="2E7B0BCC">
      <w:pPr>
        <w:pStyle w:val="32"/>
        <w:spacing w:line="360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Назначить начальника отдела информатизации и информационной безопасности </w:t>
      </w:r>
      <w:r>
        <w:rPr>
          <w:sz w:val="24"/>
          <w:szCs w:val="22"/>
          <w:lang w:val="ru-RU"/>
        </w:rPr>
        <w:t>Хоменко</w:t>
      </w:r>
      <w:r>
        <w:rPr>
          <w:rFonts w:hint="default"/>
          <w:sz w:val="24"/>
          <w:szCs w:val="22"/>
          <w:lang w:val="ru-RU"/>
        </w:rPr>
        <w:t xml:space="preserve"> Сергея Владиславовича</w:t>
      </w:r>
      <w:r>
        <w:rPr>
          <w:sz w:val="24"/>
          <w:szCs w:val="22"/>
        </w:rPr>
        <w:t xml:space="preserve"> ответственным за организацию обработки персональных данных в администрации </w:t>
      </w:r>
      <w:r>
        <w:rPr>
          <w:sz w:val="24"/>
          <w:szCs w:val="22"/>
          <w:lang w:val="ru-RU"/>
        </w:rPr>
        <w:t>Анучинского</w:t>
      </w:r>
      <w:r>
        <w:rPr>
          <w:sz w:val="24"/>
          <w:szCs w:val="22"/>
        </w:rPr>
        <w:t xml:space="preserve"> муниципального округа.</w:t>
      </w:r>
    </w:p>
    <w:p w14:paraId="418061BC">
      <w:pPr>
        <w:pStyle w:val="32"/>
        <w:spacing w:line="360" w:lineRule="auto"/>
        <w:jc w:val="both"/>
        <w:rPr>
          <w:sz w:val="24"/>
          <w:szCs w:val="22"/>
        </w:rPr>
      </w:pPr>
      <w:r>
        <w:rPr>
          <w:sz w:val="24"/>
          <w:szCs w:val="22"/>
        </w:rPr>
        <w:t>Утвердить прилагаемое Положение об ответственном за организацию обработки персональных данных</w:t>
      </w:r>
      <w:r>
        <w:rPr>
          <w:color w:val="0000FF"/>
          <w:sz w:val="24"/>
          <w:szCs w:val="22"/>
        </w:rPr>
        <w:t>.</w:t>
      </w:r>
    </w:p>
    <w:p w14:paraId="21233BD7">
      <w:pPr>
        <w:pStyle w:val="32"/>
        <w:bidi w:val="0"/>
        <w:ind w:left="0" w:leftChars="0" w:firstLine="709" w:firstLineChars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исполнением данного распоряжения возложить на </w:t>
      </w:r>
      <w:r>
        <w:rPr>
          <w:sz w:val="24"/>
          <w:szCs w:val="24"/>
          <w:lang w:val="ru-RU"/>
        </w:rPr>
        <w:t>заместителя</w:t>
      </w:r>
      <w:r>
        <w:rPr>
          <w:rFonts w:hint="default"/>
          <w:sz w:val="24"/>
          <w:szCs w:val="24"/>
          <w:lang w:val="ru-RU"/>
        </w:rPr>
        <w:t xml:space="preserve"> главы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Анучинского</w:t>
      </w:r>
      <w:r>
        <w:rPr>
          <w:sz w:val="24"/>
          <w:szCs w:val="24"/>
        </w:rPr>
        <w:t xml:space="preserve"> муниципального округа </w:t>
      </w:r>
      <w:r>
        <w:rPr>
          <w:sz w:val="24"/>
          <w:szCs w:val="24"/>
          <w:lang w:val="ru-RU"/>
        </w:rPr>
        <w:t>Грисюк</w:t>
      </w:r>
      <w:r>
        <w:rPr>
          <w:rFonts w:hint="default"/>
          <w:sz w:val="24"/>
          <w:szCs w:val="24"/>
          <w:lang w:val="ru-RU"/>
        </w:rPr>
        <w:t xml:space="preserve"> А.Н.</w:t>
      </w:r>
    </w:p>
    <w:p w14:paraId="530B6035">
      <w:pPr>
        <w:jc w:val="both"/>
        <w:rPr>
          <w:sz w:val="28"/>
          <w:szCs w:val="28"/>
        </w:rPr>
      </w:pPr>
    </w:p>
    <w:p w14:paraId="4FDB16CA">
      <w:pPr>
        <w:jc w:val="both"/>
        <w:rPr>
          <w:sz w:val="28"/>
          <w:szCs w:val="28"/>
        </w:rPr>
      </w:pPr>
    </w:p>
    <w:p w14:paraId="1DE946E8">
      <w:pPr>
        <w:jc w:val="both"/>
      </w:pPr>
      <w:r>
        <w:rPr>
          <w:sz w:val="28"/>
          <w:szCs w:val="28"/>
        </w:rPr>
        <w:t>Глава  Анучинского</w:t>
      </w:r>
    </w:p>
    <w:p w14:paraId="758DB4E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А. Я. Янчук</w:t>
      </w:r>
    </w:p>
    <w:p w14:paraId="2BE26F1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B38989">
      <w:pPr>
        <w:pStyle w:val="34"/>
        <w:jc w:val="center"/>
      </w:pPr>
      <w:r>
        <w:t>Утверждено</w:t>
      </w:r>
    </w:p>
    <w:p w14:paraId="71B02BED">
      <w:pPr>
        <w:pStyle w:val="36"/>
        <w:ind w:left="4820"/>
        <w:jc w:val="center"/>
      </w:pPr>
      <w:r>
        <w:t xml:space="preserve">распоряжением администрации </w:t>
      </w:r>
      <w:r>
        <w:rPr>
          <w:lang w:val="ru-RU"/>
        </w:rPr>
        <w:t>Анучинского</w:t>
      </w:r>
      <w:r>
        <w:t xml:space="preserve"> муниципального округа</w:t>
      </w:r>
    </w:p>
    <w:p w14:paraId="0E92258D">
      <w:pPr>
        <w:pStyle w:val="36"/>
        <w:ind w:left="4820"/>
        <w:jc w:val="center"/>
      </w:pPr>
      <w:r>
        <w:t>от «__» _________20__г. № ___</w:t>
      </w:r>
    </w:p>
    <w:p w14:paraId="17B74ED8"/>
    <w:p w14:paraId="6E5865EB">
      <w:pPr>
        <w:pStyle w:val="37"/>
        <w:outlineLvl w:val="0"/>
      </w:pPr>
      <w:r>
        <w:t>Положение об ответственном за организацию обработки персональных данных</w:t>
      </w:r>
    </w:p>
    <w:p w14:paraId="504AE414">
      <w:pPr>
        <w:pStyle w:val="38"/>
        <w:outlineLvl w:val="1"/>
      </w:pPr>
      <w:r>
        <w:t>Термины и определения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7085"/>
      </w:tblGrid>
      <w:tr w14:paraId="2AE3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0" w:type="pct"/>
          </w:tcPr>
          <w:p w14:paraId="641CA8E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Администрация </w:t>
            </w:r>
            <w:r>
              <w:rPr>
                <w:rFonts w:eastAsia="Calibri"/>
                <w:lang w:val="ru-RU"/>
              </w:rPr>
              <w:t>Анучинского</w:t>
            </w:r>
            <w:r>
              <w:rPr>
                <w:rFonts w:eastAsia="Calibri"/>
              </w:rPr>
              <w:t xml:space="preserve"> муниципального округа Приморского края, оператор</w:t>
            </w:r>
          </w:p>
        </w:tc>
        <w:tc>
          <w:tcPr>
            <w:tcW w:w="3680" w:type="pct"/>
          </w:tcPr>
          <w:p w14:paraId="3A88BDB9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– администрация </w:t>
            </w:r>
            <w:r>
              <w:rPr>
                <w:rFonts w:eastAsia="Calibri"/>
                <w:lang w:val="ru-RU"/>
              </w:rPr>
              <w:t>Анучинского</w:t>
            </w:r>
            <w:r>
              <w:rPr>
                <w:rFonts w:eastAsia="Calibri"/>
              </w:rPr>
              <w:t xml:space="preserve"> муниципального округа.</w:t>
            </w:r>
          </w:p>
        </w:tc>
      </w:tr>
    </w:tbl>
    <w:p w14:paraId="6A8929C5">
      <w:pPr>
        <w:pStyle w:val="38"/>
        <w:outlineLvl w:val="1"/>
      </w:pPr>
      <w:r>
        <w:t>Сокращения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7085"/>
      </w:tblGrid>
      <w:tr w14:paraId="45C2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0" w:type="pct"/>
          </w:tcPr>
          <w:p w14:paraId="2B146214">
            <w:pPr>
              <w:rPr>
                <w:rFonts w:eastAsia="Calibri"/>
              </w:rPr>
            </w:pPr>
            <w:r>
              <w:rPr>
                <w:rFonts w:eastAsia="Calibri"/>
              </w:rPr>
              <w:t>ПДн</w:t>
            </w:r>
          </w:p>
        </w:tc>
        <w:tc>
          <w:tcPr>
            <w:tcW w:w="3680" w:type="pct"/>
          </w:tcPr>
          <w:p w14:paraId="4803683D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– персональные данные</w:t>
            </w:r>
            <w:r>
              <w:rPr>
                <w:rFonts w:eastAsia="Calibri"/>
                <w:lang w:val="en-US"/>
              </w:rPr>
              <w:t>.</w:t>
            </w:r>
          </w:p>
        </w:tc>
      </w:tr>
    </w:tbl>
    <w:p w14:paraId="5EC7E1ED">
      <w:pPr>
        <w:pStyle w:val="38"/>
        <w:outlineLvl w:val="1"/>
      </w:pPr>
      <w:r>
        <w:t>Общие положения</w:t>
      </w:r>
    </w:p>
    <w:p w14:paraId="353325BA">
      <w:pPr>
        <w:pStyle w:val="39"/>
        <w:jc w:val="both"/>
      </w:pPr>
      <w:r>
        <w:t xml:space="preserve">Настоящее положение определяет основные обязанности (функции), права и ответственность сотрудника администрации </w:t>
      </w:r>
      <w:r>
        <w:rPr>
          <w:lang w:val="ru-RU"/>
        </w:rPr>
        <w:t>Анучинского</w:t>
      </w:r>
      <w:r>
        <w:rPr>
          <w:rFonts w:hint="default"/>
          <w:lang w:val="ru-RU"/>
        </w:rPr>
        <w:t xml:space="preserve"> </w:t>
      </w:r>
      <w:r>
        <w:t xml:space="preserve">муниципального округа, назначенного ответственным за организацию обработки персональных данных в администрации </w:t>
      </w:r>
      <w:r>
        <w:rPr>
          <w:lang w:val="ru-RU"/>
        </w:rPr>
        <w:t>Анучинского</w:t>
      </w:r>
      <w:r>
        <w:t xml:space="preserve"> муниципального округа (далее – Ответственный).</w:t>
      </w:r>
    </w:p>
    <w:p w14:paraId="063B283E">
      <w:pPr>
        <w:pStyle w:val="39"/>
        <w:jc w:val="both"/>
      </w:pPr>
      <w:r>
        <w:t xml:space="preserve">Назначение (возложение функций) Ответственного осуществляется локальным актом администрации </w:t>
      </w:r>
      <w:r>
        <w:rPr>
          <w:lang w:val="ru-RU"/>
        </w:rPr>
        <w:t>Анучинского</w:t>
      </w:r>
      <w:r>
        <w:rPr>
          <w:rFonts w:hint="default"/>
          <w:lang w:val="ru-RU"/>
        </w:rPr>
        <w:t xml:space="preserve"> </w:t>
      </w:r>
      <w:r>
        <w:t>муниципального округа.</w:t>
      </w:r>
    </w:p>
    <w:p w14:paraId="26837392">
      <w:pPr>
        <w:pStyle w:val="39"/>
        <w:jc w:val="both"/>
      </w:pPr>
      <w:r>
        <w:t xml:space="preserve">В своей деятельности Ответственный должен руководствоваться законодательством Российской Федерации и локальными актами администрации </w:t>
      </w:r>
      <w:r>
        <w:rPr>
          <w:lang w:val="ru-RU"/>
        </w:rPr>
        <w:t>Анучинского</w:t>
      </w:r>
      <w:r>
        <w:t xml:space="preserve"> муниципального округа Приморского края в сфере (области) обработки и обеспечения безопасности персональных данных, настоящим положением.</w:t>
      </w:r>
    </w:p>
    <w:p w14:paraId="1BF55F7D">
      <w:pPr>
        <w:pStyle w:val="38"/>
        <w:outlineLvl w:val="1"/>
      </w:pPr>
      <w:r>
        <w:t>Обязанности ответственного</w:t>
      </w:r>
    </w:p>
    <w:p w14:paraId="2F5D01C6">
      <w:pPr>
        <w:pStyle w:val="39"/>
        <w:jc w:val="both"/>
      </w:pPr>
      <w:r>
        <w:t xml:space="preserve">Ответственный организует работу, обеспечивает </w:t>
      </w:r>
      <w:bookmarkStart w:id="0" w:name="_Hlk220235858"/>
      <w:r>
        <w:t xml:space="preserve">и контролирует </w:t>
      </w:r>
      <w:bookmarkEnd w:id="0"/>
      <w:r>
        <w:t>реализацию и несет ответственность за выполнение следующих обязанностей (функций):</w:t>
      </w:r>
    </w:p>
    <w:p w14:paraId="1E19C7B9">
      <w:pPr>
        <w:pStyle w:val="40"/>
        <w:jc w:val="both"/>
      </w:pPr>
      <w:r>
        <w:t>Организация обработки ПДн:</w:t>
      </w:r>
    </w:p>
    <w:p w14:paraId="5E0FBFEC">
      <w:pPr>
        <w:pStyle w:val="41"/>
        <w:jc w:val="both"/>
      </w:pPr>
      <w:r>
        <w:t>Разработка и поддержание в актуальном состоянии политики оператора в отношении обработки ПДн, локальных актов по вопросам обработки ПДн, а также локальных актов, устанавливающих процедуры, направленные на предотвращение и выявление нарушений законодательства Российской Федерации при обработке ПДн, устранение последствий таких нарушений;</w:t>
      </w:r>
    </w:p>
    <w:p w14:paraId="1D42B806">
      <w:pPr>
        <w:pStyle w:val="41"/>
        <w:jc w:val="both"/>
      </w:pPr>
      <w:r>
        <w:t>Обеспечение неограниченного доступа к политике оператора в отношении обработки ПДн, в том числе к сведениям о реализуемых требованиях к защите ПДн;</w:t>
      </w:r>
    </w:p>
    <w:p w14:paraId="239A7840">
      <w:pPr>
        <w:pStyle w:val="41"/>
        <w:jc w:val="both"/>
      </w:pPr>
      <w:r>
        <w:t>Своевременное уведомление уполномоченного органа по защите прав субъектов ПДн о намерении оператора осуществлять обработку ПДн, об изменении сведений, содержащихся в указанном уведомлении, о прекращении обработки ПДн;</w:t>
      </w:r>
    </w:p>
    <w:p w14:paraId="78040052">
      <w:pPr>
        <w:pStyle w:val="41"/>
        <w:jc w:val="both"/>
      </w:pPr>
      <w:r>
        <w:t>Предоставление документов и иных материалов по запросу уполномоченного органа по защите прав субъектов ПДн;</w:t>
      </w:r>
    </w:p>
    <w:p w14:paraId="4C8D3828">
      <w:pPr>
        <w:pStyle w:val="41"/>
        <w:jc w:val="both"/>
      </w:pPr>
      <w:r>
        <w:t>Организация оценки вреда, который может быть причинен субъектам ПДн в случае нарушения Федерального закона «О персональных данных», соотношения указанного вреда с принимаемыми оператором мерами, направленными на обеспечение выполнения обязанностей, предусмотренных Федеральным законом «О персональных данных», в соответствии с правилами оценки вреда, утвержденными локальным актом оператора;</w:t>
      </w:r>
    </w:p>
    <w:p w14:paraId="60B045CC">
      <w:pPr>
        <w:pStyle w:val="41"/>
        <w:jc w:val="both"/>
      </w:pPr>
      <w:r>
        <w:t>Ознакомление работников оператора, непосредственно осуществляющих обработку ПДн, с положениями законодательства Российской Федерации о ПДн, в том числе требованиями к защите ПДн, политикой оператора в отношении обработки ПДн и иными локальными актами оператора по вопросам обработки ПДн;</w:t>
      </w:r>
    </w:p>
    <w:p w14:paraId="65729932">
      <w:pPr>
        <w:pStyle w:val="41"/>
        <w:jc w:val="both"/>
      </w:pPr>
      <w:r>
        <w:t>Контроль ведения документации, предусмотренной локальными актами в части обработки ПДн;</w:t>
      </w:r>
    </w:p>
    <w:p w14:paraId="786BF731">
      <w:pPr>
        <w:pStyle w:val="41"/>
        <w:jc w:val="both"/>
      </w:pPr>
      <w:r>
        <w:t>Контроль за соблюдением требований при передаче ПДн третьим лицам на основании договоров поручения или иных соглашений;</w:t>
      </w:r>
    </w:p>
    <w:p w14:paraId="60F6FF72">
      <w:pPr>
        <w:pStyle w:val="41"/>
        <w:jc w:val="both"/>
      </w:pPr>
      <w:r>
        <w:t>Организация внутреннего контроля и (или) аудита соответствия обработки ПДн Федеральному закону «О персональных данных» и принятым в соответствии с ним нормативным правовым актам, требованиям к защите ПДн, политике оператора в отношении обработки ПДн и иным локальным актам оператора в соответствии с правилами осуществления внутреннего контроля, утвержденными локальным актом оператора.</w:t>
      </w:r>
    </w:p>
    <w:p w14:paraId="7EB2A0EF">
      <w:pPr>
        <w:pStyle w:val="40"/>
        <w:jc w:val="both"/>
      </w:pPr>
      <w:r>
        <w:t>Выполнение обязанностей оператора при сборе ПДн:</w:t>
      </w:r>
    </w:p>
    <w:p w14:paraId="25D4FFF0">
      <w:pPr>
        <w:pStyle w:val="41"/>
        <w:jc w:val="both"/>
      </w:pPr>
      <w:r>
        <w:t>Предоставление информации субъектам ПДн, разъяснение субъектам ПДн юридических последствий отказа предоставить их ПДн и (или) дать согласие на их обработку при сборе ПДн;</w:t>
      </w:r>
    </w:p>
    <w:p w14:paraId="776B71A0">
      <w:pPr>
        <w:pStyle w:val="41"/>
        <w:jc w:val="both"/>
      </w:pPr>
      <w:r>
        <w:t>Выполнение требований о месте нахождения баз данных информации, содержащей ПДн граждан Российской Федерации, при сборе ПДн.</w:t>
      </w:r>
    </w:p>
    <w:p w14:paraId="6FF3065A">
      <w:pPr>
        <w:pStyle w:val="40"/>
        <w:jc w:val="both"/>
      </w:pPr>
      <w:r>
        <w:t>Выполнение обязанностей оператора при обращении к нему субъектов ПДн или их представителей:</w:t>
      </w:r>
    </w:p>
    <w:p w14:paraId="59479504">
      <w:pPr>
        <w:pStyle w:val="41"/>
        <w:jc w:val="both"/>
      </w:pPr>
      <w:r>
        <w:t>Прием и обработка обращений и запросов субъектов ПДн или их представителей;</w:t>
      </w:r>
    </w:p>
    <w:p w14:paraId="2A2CB111">
      <w:pPr>
        <w:pStyle w:val="41"/>
        <w:jc w:val="both"/>
      </w:pPr>
      <w:r>
        <w:t>Контроль за приемом и обработкой обращений и запросов субъектов ПДн или их представителей.</w:t>
      </w:r>
    </w:p>
    <w:p w14:paraId="0F91A143">
      <w:pPr>
        <w:pStyle w:val="40"/>
        <w:jc w:val="both"/>
      </w:pPr>
      <w:r>
        <w:t>Выполнение обязанностей оператора в случаях выявления неправомерной обработки ПДн, выявления неточных ПДн:</w:t>
      </w:r>
    </w:p>
    <w:p w14:paraId="60E430C6">
      <w:pPr>
        <w:pStyle w:val="41"/>
        <w:jc w:val="both"/>
      </w:pPr>
      <w:r>
        <w:t>Уточнение, блокирование, уничтожение (либо обеспечение уточнения, блокирования, уничтожения, если обработка ПДн осуществляется другим лицом, действующим по поручению оператора), подтверждение уничтожения ПДн в случаях выявления неправомерной обработки ПДн, выявления неточных ПДн.</w:t>
      </w:r>
    </w:p>
    <w:p w14:paraId="2D3006EE">
      <w:pPr>
        <w:pStyle w:val="40"/>
        <w:jc w:val="both"/>
      </w:pPr>
      <w:r>
        <w:t>Выполнение обязанностей оператора в случаях достижения цели обработки ПДн, отзыва субъектом ПДн согласия на обработку его ПДн, обращения субъекта ПДн к оператору с требованием о прекращении обработки ПДн:</w:t>
      </w:r>
    </w:p>
    <w:p w14:paraId="26869AA0">
      <w:pPr>
        <w:pStyle w:val="41"/>
        <w:jc w:val="both"/>
      </w:pPr>
      <w:r>
        <w:t>Прекращение обработки, блокирование, уничтожение (либо обеспечение прекращения обработки, блокирования, уничтожения, если обработка ПДн осуществляется другим лицом, действующим по поручению оператора), подтверждение уничтожения ПДн в случаях достижения цели обработки ПДн, отзыва субъектом ПДн согласия на обработку его ПДн, обращения субъекта ПДн к оператору с требованием о прекращении обработки ПДн.</w:t>
      </w:r>
    </w:p>
    <w:p w14:paraId="14E6AE84">
      <w:pPr>
        <w:pStyle w:val="40"/>
        <w:jc w:val="both"/>
      </w:pPr>
      <w:r>
        <w:t>Выполнение обязанностей оператора в случае установления факта неправомерной или случайной передачи ПДн, повлекшей нарушение прав субъектов ПДн:</w:t>
      </w:r>
    </w:p>
    <w:p w14:paraId="70C1AEE1">
      <w:pPr>
        <w:pStyle w:val="41"/>
        <w:jc w:val="both"/>
      </w:pPr>
      <w:r>
        <w:t>Уведомление уполномоченного органа по защите прав субъектов ПДн в случае установления факта неправомерной или случайной передачи (предоставления, распространения, доступа) ПДн, повлекшей нарушение прав субъектов ПДн;</w:t>
      </w:r>
    </w:p>
    <w:p w14:paraId="515EDF07">
      <w:pPr>
        <w:pStyle w:val="41"/>
        <w:jc w:val="both"/>
      </w:pPr>
      <w:r>
        <w:t>Взаимодействие с уполномоченным органом по защите прав субъектов ПДн по вопросам, связанным с выявленным фактом неправомерной или случайной передачи (предоставления, распространения, доступа) ПДн, повлекшей нарушение прав субъектов ПДн;</w:t>
      </w:r>
    </w:p>
    <w:p w14:paraId="3F9F01F5">
      <w:pPr>
        <w:pStyle w:val="41"/>
        <w:jc w:val="both"/>
      </w:pPr>
      <w:r>
        <w:t>Расследование по факту неправомерной или случайной передачи (предоставления, распространения, доступа) ПДн, повлекшей нарушение прав субъектов ПДн.</w:t>
      </w:r>
    </w:p>
    <w:p w14:paraId="521AFBDB">
      <w:pPr>
        <w:pStyle w:val="40"/>
        <w:jc w:val="both"/>
      </w:pPr>
      <w:r>
        <w:t>Выполнение обязанностей оператора при обработке ПДн, осуществляемой без использования средств автоматизации:</w:t>
      </w:r>
    </w:p>
    <w:p w14:paraId="703CD0F4">
      <w:pPr>
        <w:pStyle w:val="41"/>
        <w:jc w:val="both"/>
      </w:pPr>
      <w:r>
        <w:t>Разработка и поддержание в актуальном состоянии локального акта оператора, определяющего перечень лиц, допущенных к обработке ПДн без использования средств автоматизации;</w:t>
      </w:r>
    </w:p>
    <w:p w14:paraId="68291D05">
      <w:pPr>
        <w:pStyle w:val="41"/>
        <w:jc w:val="both"/>
      </w:pPr>
      <w:r>
        <w:t>Соблюдение требований к типовым формам документов, характер информации в которых предполагает или допускает включение в них ПДн;</w:t>
      </w:r>
    </w:p>
    <w:p w14:paraId="0C4B36BD">
      <w:pPr>
        <w:pStyle w:val="41"/>
        <w:jc w:val="both"/>
      </w:pPr>
      <w:r>
        <w:t>Соблюдение требований к ведению журналов (реестров, книг), содержащих ПДн, необходимые для однократного пропуска субъекта ПДн на территорию, на которой находится оператор, или в иных аналогичных целях;</w:t>
      </w:r>
    </w:p>
    <w:p w14:paraId="3C7FB60B">
      <w:pPr>
        <w:pStyle w:val="41"/>
        <w:jc w:val="both"/>
      </w:pPr>
      <w:r>
        <w:t>Соблюдение требований к правилам обработки ПДн на материальных (бумажных) носителях в части обеспечения отдельной обработки ПДн от обработки ПДн в иных (несовместимых) целях или обработки иной информации, уничтожения или обезличивания части ПДн, уточнения ПДн;</w:t>
      </w:r>
    </w:p>
    <w:p w14:paraId="0A77A57B">
      <w:pPr>
        <w:pStyle w:val="41"/>
        <w:jc w:val="both"/>
      </w:pPr>
      <w:r>
        <w:t>Организация уничтожения ПДн, обрабатываемых на материальных (бумажных) носителях, в соответствии с правилами по уничтожению ПДн, утвержденными локальным актом оператора.</w:t>
      </w:r>
    </w:p>
    <w:p w14:paraId="2B141F39">
      <w:pPr>
        <w:pStyle w:val="40"/>
        <w:jc w:val="both"/>
      </w:pPr>
      <w:r>
        <w:t>Проведение мероприятий и принятие мер по обеспечению информационной безопасности:</w:t>
      </w:r>
    </w:p>
    <w:p w14:paraId="3DFEA8BF">
      <w:pPr>
        <w:pStyle w:val="41"/>
        <w:jc w:val="both"/>
      </w:pPr>
      <w:r>
        <w:t>Обеспечение обучения работников оператора, непосредственно осуществляющих обработку ПДн, по вопросам обработки ПДн.</w:t>
      </w:r>
    </w:p>
    <w:p w14:paraId="6D9C7576">
      <w:pPr>
        <w:pStyle w:val="38"/>
        <w:outlineLvl w:val="1"/>
      </w:pPr>
      <w:r>
        <w:t>Права ответственного</w:t>
      </w:r>
    </w:p>
    <w:p w14:paraId="2653140C">
      <w:pPr>
        <w:pStyle w:val="39"/>
        <w:jc w:val="both"/>
      </w:pPr>
      <w:r>
        <w:t>Ответственный имеет право:</w:t>
      </w:r>
    </w:p>
    <w:p w14:paraId="5C34E4A7">
      <w:pPr>
        <w:pStyle w:val="40"/>
        <w:jc w:val="both"/>
      </w:pPr>
      <w:r>
        <w:t xml:space="preserve">Знакомиться с локальными актами оператора, устанавливающими порядок обработки и обеспечения безопасности персональных данных в администрации </w:t>
      </w:r>
      <w:r>
        <w:rPr>
          <w:lang w:val="ru-RU"/>
        </w:rPr>
        <w:t>Анучинского</w:t>
      </w:r>
      <w:r>
        <w:t xml:space="preserve"> муниципального округа Приморского края;</w:t>
      </w:r>
    </w:p>
    <w:p w14:paraId="7434C1C4">
      <w:pPr>
        <w:pStyle w:val="40"/>
        <w:jc w:val="both"/>
      </w:pPr>
      <w:r>
        <w:t xml:space="preserve">Требовать от сотрудников оператора соблюдения требований законодательства Российской Федерации и локальных актов оператора, устанавливающих порядок обработки и обеспечения безопасности персональных данных в администрации </w:t>
      </w:r>
      <w:r>
        <w:rPr>
          <w:lang w:val="ru-RU"/>
        </w:rPr>
        <w:t>Анучинского</w:t>
      </w:r>
      <w:r>
        <w:t xml:space="preserve"> муниципального округа Приморского края;</w:t>
      </w:r>
    </w:p>
    <w:p w14:paraId="26FA7A02">
      <w:pPr>
        <w:pStyle w:val="40"/>
        <w:jc w:val="both"/>
      </w:pPr>
      <w:r>
        <w:t xml:space="preserve">Вносить свои предложения по совершенствованию мероприятий и мер по вопросам обработки и обеспечения безопасности персональных данных в администрации </w:t>
      </w:r>
      <w:r>
        <w:rPr>
          <w:lang w:val="ru-RU"/>
        </w:rPr>
        <w:t>Анучинского</w:t>
      </w:r>
      <w:r>
        <w:t xml:space="preserve"> муниципального округа Приморского края, участвовать в проведении таких мероприятий.</w:t>
      </w:r>
    </w:p>
    <w:p w14:paraId="722777AA">
      <w:pPr>
        <w:pStyle w:val="38"/>
        <w:outlineLvl w:val="1"/>
      </w:pPr>
      <w:r>
        <w:t>Ответственность</w:t>
      </w:r>
    </w:p>
    <w:p w14:paraId="6F26A5E6">
      <w:pPr>
        <w:pStyle w:val="39"/>
        <w:jc w:val="both"/>
      </w:pPr>
      <w:r>
        <w:t>Ответственный несет персональную ответственность в соответствии с законодательством Российской Федерации, трудовым договором (служебным контрактом), должностной инструкцией за:</w:t>
      </w:r>
    </w:p>
    <w:p w14:paraId="38B74D2F">
      <w:pPr>
        <w:pStyle w:val="42"/>
        <w:jc w:val="both"/>
      </w:pPr>
      <w:r>
        <w:t>неисполнение или ненадлежащее исполнение своих обязанностей;</w:t>
      </w:r>
    </w:p>
    <w:p w14:paraId="6B18DBD0">
      <w:pPr>
        <w:pStyle w:val="42"/>
        <w:jc w:val="both"/>
      </w:pPr>
      <w:r>
        <w:t>действия (бездействие), ведущие к нарушению прав и законных интересов оператора;</w:t>
      </w:r>
    </w:p>
    <w:p w14:paraId="33B5AF4D">
      <w:pPr>
        <w:pStyle w:val="42"/>
        <w:jc w:val="both"/>
      </w:pPr>
      <w:r>
        <w:t>разглашение сведений, ставших ему известными в связи с исполнением своих обязанностей;</w:t>
      </w:r>
    </w:p>
    <w:p w14:paraId="5C12F6CF">
      <w:pPr>
        <w:pStyle w:val="42"/>
        <w:jc w:val="both"/>
      </w:pPr>
      <w:r>
        <w:t xml:space="preserve">несоблюдение требований локальных актов оператора, устанавливающих порядок обработки и обеспечения безопасности персональных данных в администрации </w:t>
      </w:r>
      <w:r>
        <w:rPr>
          <w:lang w:val="ru-RU"/>
        </w:rPr>
        <w:t>Анучинского</w:t>
      </w:r>
      <w:r>
        <w:t xml:space="preserve"> муниципального округа Приморского края.</w:t>
      </w:r>
    </w:p>
    <w:p w14:paraId="3AD0E5D1">
      <w:pPr>
        <w:jc w:val="both"/>
        <w:rPr>
          <w:sz w:val="28"/>
          <w:szCs w:val="28"/>
        </w:rPr>
      </w:pPr>
    </w:p>
    <w:sectPr>
      <w:pgSz w:w="11906" w:h="16838"/>
      <w:pgMar w:top="850" w:right="851" w:bottom="1134" w:left="1644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Droid Sans Arabic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graC">
    <w:panose1 w:val="02000600000000000000"/>
    <w:charset w:val="00"/>
    <w:family w:val="auto"/>
    <w:pitch w:val="default"/>
    <w:sig w:usb0="A00002FF" w:usb1="1000000A" w:usb2="00000000" w:usb3="00000000" w:csb0="00000187" w:csb1="00000000"/>
  </w:font>
  <w:font w:name="Droid Sans Fallback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Migra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40484055"/>
    <w:multiLevelType w:val="multilevel"/>
    <w:tmpl w:val="40484055"/>
    <w:lvl w:ilvl="0" w:tentative="0">
      <w:start w:val="1"/>
      <w:numFmt w:val="decimal"/>
      <w:pStyle w:val="38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39"/>
      <w:isLgl/>
      <w:suff w:val="space"/>
      <w:lvlText w:val="%1.%2."/>
      <w:lvlJc w:val="left"/>
      <w:pPr>
        <w:ind w:left="0" w:firstLine="709"/>
      </w:pPr>
      <w:rPr>
        <w:rFonts w:hint="default"/>
        <w:u w:val="none"/>
      </w:rPr>
    </w:lvl>
    <w:lvl w:ilvl="2" w:tentative="0">
      <w:start w:val="1"/>
      <w:numFmt w:val="decimal"/>
      <w:pStyle w:val="40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 w:tentative="0">
      <w:start w:val="1"/>
      <w:numFmt w:val="decimal"/>
      <w:pStyle w:val="41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4E625B1E"/>
    <w:multiLevelType w:val="multilevel"/>
    <w:tmpl w:val="4E625B1E"/>
    <w:lvl w:ilvl="0" w:tentative="0">
      <w:start w:val="1"/>
      <w:numFmt w:val="decimal"/>
      <w:pStyle w:val="32"/>
      <w:suff w:val="space"/>
      <w:lvlText w:val="%1."/>
      <w:lvlJc w:val="left"/>
      <w:pPr>
        <w:ind w:left="0" w:firstLine="709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2215"/>
        </w:tabs>
        <w:ind w:left="2215" w:hanging="360"/>
      </w:pPr>
    </w:lvl>
    <w:lvl w:ilvl="2" w:tentative="0">
      <w:start w:val="1"/>
      <w:numFmt w:val="decimal"/>
      <w:lvlText w:val="%3."/>
      <w:lvlJc w:val="left"/>
      <w:pPr>
        <w:tabs>
          <w:tab w:val="left" w:pos="2935"/>
        </w:tabs>
        <w:ind w:left="2935" w:hanging="360"/>
      </w:pPr>
    </w:lvl>
    <w:lvl w:ilvl="3" w:tentative="0">
      <w:start w:val="1"/>
      <w:numFmt w:val="decimal"/>
      <w:lvlText w:val="%4."/>
      <w:lvlJc w:val="left"/>
      <w:pPr>
        <w:tabs>
          <w:tab w:val="left" w:pos="3655"/>
        </w:tabs>
        <w:ind w:left="3655" w:hanging="360"/>
      </w:pPr>
    </w:lvl>
    <w:lvl w:ilvl="4" w:tentative="0">
      <w:start w:val="1"/>
      <w:numFmt w:val="decimal"/>
      <w:lvlText w:val="%5."/>
      <w:lvlJc w:val="left"/>
      <w:pPr>
        <w:tabs>
          <w:tab w:val="left" w:pos="4375"/>
        </w:tabs>
        <w:ind w:left="4375" w:hanging="360"/>
      </w:pPr>
    </w:lvl>
    <w:lvl w:ilvl="5" w:tentative="0">
      <w:start w:val="1"/>
      <w:numFmt w:val="decimal"/>
      <w:lvlText w:val="%6."/>
      <w:lvlJc w:val="left"/>
      <w:pPr>
        <w:tabs>
          <w:tab w:val="left" w:pos="5095"/>
        </w:tabs>
        <w:ind w:left="5095" w:hanging="360"/>
      </w:pPr>
    </w:lvl>
    <w:lvl w:ilvl="6" w:tentative="0">
      <w:start w:val="1"/>
      <w:numFmt w:val="decimal"/>
      <w:lvlText w:val="%7."/>
      <w:lvlJc w:val="left"/>
      <w:pPr>
        <w:tabs>
          <w:tab w:val="left" w:pos="5815"/>
        </w:tabs>
        <w:ind w:left="5815" w:hanging="360"/>
      </w:pPr>
    </w:lvl>
    <w:lvl w:ilvl="7" w:tentative="0">
      <w:start w:val="1"/>
      <w:numFmt w:val="decimal"/>
      <w:lvlText w:val="%8."/>
      <w:lvlJc w:val="left"/>
      <w:pPr>
        <w:tabs>
          <w:tab w:val="left" w:pos="6535"/>
        </w:tabs>
        <w:ind w:left="6535" w:hanging="360"/>
      </w:pPr>
    </w:lvl>
    <w:lvl w:ilvl="8" w:tentative="0">
      <w:start w:val="1"/>
      <w:numFmt w:val="decimal"/>
      <w:lvlText w:val="%9."/>
      <w:lvlJc w:val="left"/>
      <w:pPr>
        <w:tabs>
          <w:tab w:val="left" w:pos="7255"/>
        </w:tabs>
        <w:ind w:left="7255" w:hanging="360"/>
      </w:pPr>
    </w:lvl>
  </w:abstractNum>
  <w:abstractNum w:abstractNumId="3">
    <w:nsid w:val="6C456FD9"/>
    <w:multiLevelType w:val="multilevel"/>
    <w:tmpl w:val="6C456FD9"/>
    <w:lvl w:ilvl="0" w:tentative="0">
      <w:start w:val="1"/>
      <w:numFmt w:val="bullet"/>
      <w:pStyle w:val="42"/>
      <w:suff w:val="space"/>
      <w:lvlText w:val="–"/>
      <w:lvlJc w:val="left"/>
      <w:pPr>
        <w:ind w:left="0" w:firstLine="708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BF7B53"/>
    <w:rsid w:val="14095D3A"/>
    <w:rsid w:val="167D1983"/>
    <w:rsid w:val="1B415BC7"/>
    <w:rsid w:val="3D65786A"/>
    <w:rsid w:val="466762D8"/>
    <w:rsid w:val="65767BAA"/>
    <w:rsid w:val="734917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6"/>
      <w:szCs w:val="26"/>
    </w:rPr>
  </w:style>
  <w:style w:type="paragraph" w:styleId="3">
    <w:name w:val="heading 2"/>
    <w:basedOn w:val="4"/>
    <w:next w:val="5"/>
    <w:qFormat/>
    <w:uiPriority w:val="0"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Liberation Sans" w:cs="Droid Sans Arab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5">
    <w:name w:val="Body Text"/>
    <w:basedOn w:val="1"/>
    <w:qFormat/>
    <w:uiPriority w:val="0"/>
    <w:pPr>
      <w:jc w:val="both"/>
    </w:pPr>
    <w:rPr>
      <w:sz w:val="26"/>
    </w:rPr>
  </w:style>
  <w:style w:type="paragraph" w:styleId="8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qFormat/>
    <w:uiPriority w:val="0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</w:rPr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2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3">
    <w:name w:val="List"/>
    <w:basedOn w:val="5"/>
    <w:qFormat/>
    <w:uiPriority w:val="0"/>
    <w:rPr>
      <w:rFonts w:cs="Droid Sans Devanagari"/>
    </w:rPr>
  </w:style>
  <w:style w:type="table" w:styleId="14">
    <w:name w:val="Table Grid"/>
    <w:basedOn w:val="7"/>
    <w:qFormat/>
    <w:uiPriority w:val="5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Заголовок 1 Знак"/>
    <w:basedOn w:val="6"/>
    <w:qFormat/>
    <w:uiPriority w:val="0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customStyle="1" w:styleId="16">
    <w:name w:val="Основной текст Знак"/>
    <w:basedOn w:val="6"/>
    <w:qFormat/>
    <w:uiPriority w:val="0"/>
    <w:rPr>
      <w:rFonts w:ascii="Times New Roman" w:hAnsi="Times New Roman" w:eastAsia="Times New Roman"/>
      <w:sz w:val="26"/>
      <w:szCs w:val="24"/>
      <w:lang w:eastAsia="ru-RU"/>
    </w:rPr>
  </w:style>
  <w:style w:type="character" w:customStyle="1" w:styleId="17">
    <w:name w:val="Заголовок 2 Знак"/>
    <w:basedOn w:val="6"/>
    <w:qFormat/>
    <w:uiPriority w:val="0"/>
    <w:rPr>
      <w:rFonts w:ascii="Times New Roman" w:hAnsi="Times New Roman" w:eastAsia="Times New Roman"/>
      <w:color w:val="000000"/>
      <w:sz w:val="26"/>
      <w:szCs w:val="26"/>
      <w:shd w:val="clear" w:fill="FFFFFF"/>
      <w:lang w:eastAsia="ru-RU"/>
    </w:rPr>
  </w:style>
  <w:style w:type="character" w:customStyle="1" w:styleId="18">
    <w:name w:val="Текст выноски Знак"/>
    <w:basedOn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9">
    <w:name w:val="Гиперссылка1"/>
    <w:qFormat/>
    <w:uiPriority w:val="0"/>
    <w:rPr>
      <w:color w:val="000080"/>
      <w:u w:val="single"/>
    </w:rPr>
  </w:style>
  <w:style w:type="character" w:customStyle="1" w:styleId="20">
    <w:name w:val="Символ нумерации"/>
    <w:qFormat/>
    <w:uiPriority w:val="0"/>
  </w:style>
  <w:style w:type="paragraph" w:customStyle="1" w:styleId="21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2">
    <w:name w:val="Указатель12"/>
    <w:basedOn w:val="1"/>
    <w:qFormat/>
    <w:uiPriority w:val="0"/>
    <w:pPr>
      <w:suppressLineNumbers/>
    </w:pPr>
    <w:rPr>
      <w:rFonts w:cs="Arial"/>
    </w:rPr>
  </w:style>
  <w:style w:type="paragraph" w:customStyle="1" w:styleId="23">
    <w:name w:val="Колонтитул"/>
    <w:basedOn w:val="1"/>
    <w:qFormat/>
    <w:uiPriority w:val="0"/>
  </w:style>
  <w:style w:type="paragraph" w:customStyle="1" w:styleId="24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25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6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27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28">
    <w:name w:val="Отступ абзаца"/>
    <w:basedOn w:val="1"/>
    <w:qFormat/>
    <w:uiPriority w:val="0"/>
    <w:pPr>
      <w:ind w:firstLine="708"/>
    </w:pPr>
    <w:rPr>
      <w:szCs w:val="20"/>
    </w:rPr>
  </w:style>
  <w:style w:type="character" w:customStyle="1" w:styleId="29">
    <w:name w:val="Слово Приложение"/>
    <w:basedOn w:val="6"/>
    <w:qFormat/>
    <w:uiPriority w:val="1"/>
  </w:style>
  <w:style w:type="character" w:customStyle="1" w:styleId="30">
    <w:name w:val="Написание специального слова Знак"/>
    <w:basedOn w:val="6"/>
    <w:link w:val="31"/>
    <w:qFormat/>
    <w:uiPriority w:val="0"/>
    <w:rPr>
      <w:rFonts w:cs="Times New Roman CYR"/>
    </w:rPr>
  </w:style>
  <w:style w:type="paragraph" w:customStyle="1" w:styleId="31">
    <w:name w:val="Написание специального слова"/>
    <w:basedOn w:val="1"/>
    <w:link w:val="30"/>
    <w:qFormat/>
    <w:uiPriority w:val="0"/>
    <w:pPr>
      <w:widowControl w:val="0"/>
      <w:autoSpaceDE w:val="0"/>
      <w:autoSpaceDN w:val="0"/>
      <w:adjustRightInd w:val="0"/>
      <w:jc w:val="left"/>
    </w:pPr>
    <w:rPr>
      <w:rFonts w:cs="Times New Roman CYR"/>
    </w:rPr>
  </w:style>
  <w:style w:type="paragraph" w:customStyle="1" w:styleId="32">
    <w:name w:val="Отступы элементов списка"/>
    <w:basedOn w:val="1"/>
    <w:qFormat/>
    <w:uiPriority w:val="0"/>
    <w:pPr>
      <w:widowControl w:val="0"/>
      <w:numPr>
        <w:ilvl w:val="0"/>
        <w:numId w:val="2"/>
      </w:numPr>
      <w:tabs>
        <w:tab w:val="left" w:pos="993"/>
      </w:tabs>
      <w:autoSpaceDE w:val="0"/>
      <w:autoSpaceDN w:val="0"/>
      <w:adjustRightInd w:val="0"/>
    </w:pPr>
  </w:style>
  <w:style w:type="paragraph" w:customStyle="1" w:styleId="33">
    <w:name w:val="Отступ после тела приказа"/>
    <w:basedOn w:val="32"/>
    <w:next w:val="32"/>
    <w:qFormat/>
    <w:uiPriority w:val="0"/>
    <w:pPr>
      <w:spacing w:after="687"/>
    </w:pPr>
  </w:style>
  <w:style w:type="paragraph" w:customStyle="1" w:styleId="34">
    <w:name w:val="Слово утверждения документа"/>
    <w:basedOn w:val="35"/>
    <w:qFormat/>
    <w:uiPriority w:val="0"/>
    <w:pPr>
      <w:ind w:left="4820"/>
    </w:pPr>
    <w:rPr>
      <w:caps/>
    </w:rPr>
  </w:style>
  <w:style w:type="paragraph" w:customStyle="1" w:styleId="35">
    <w:name w:val="Утверждение документа"/>
    <w:basedOn w:val="1"/>
    <w:qFormat/>
    <w:uiPriority w:val="0"/>
    <w:pPr>
      <w:jc w:val="right"/>
    </w:pPr>
  </w:style>
  <w:style w:type="paragraph" w:customStyle="1" w:styleId="36">
    <w:name w:val="Тело утверждения документа"/>
    <w:basedOn w:val="35"/>
    <w:qFormat/>
    <w:uiPriority w:val="0"/>
  </w:style>
  <w:style w:type="paragraph" w:customStyle="1" w:styleId="37">
    <w:name w:val="Заголовки приложений"/>
    <w:basedOn w:val="1"/>
    <w:qFormat/>
    <w:uiPriority w:val="0"/>
    <w:pPr>
      <w:jc w:val="center"/>
    </w:pPr>
    <w:rPr>
      <w:rFonts w:eastAsiaTheme="minorHAnsi" w:cstheme="minorBidi"/>
      <w:b/>
      <w:lang w:eastAsia="en-US"/>
    </w:rPr>
  </w:style>
  <w:style w:type="paragraph" w:customStyle="1" w:styleId="38">
    <w:name w:val="Большой список уровень 1"/>
    <w:basedOn w:val="1"/>
    <w:next w:val="1"/>
    <w:qFormat/>
    <w:uiPriority w:val="0"/>
    <w:pPr>
      <w:keepNext/>
      <w:numPr>
        <w:ilvl w:val="0"/>
        <w:numId w:val="3"/>
      </w:numPr>
      <w:spacing w:before="360"/>
      <w:jc w:val="center"/>
    </w:pPr>
    <w:rPr>
      <w:b/>
      <w:bCs/>
      <w:caps/>
      <w:szCs w:val="24"/>
    </w:rPr>
  </w:style>
  <w:style w:type="paragraph" w:customStyle="1" w:styleId="39">
    <w:name w:val="Большой список уровень 2"/>
    <w:basedOn w:val="1"/>
    <w:qFormat/>
    <w:uiPriority w:val="0"/>
    <w:pPr>
      <w:widowControl w:val="0"/>
      <w:numPr>
        <w:ilvl w:val="1"/>
        <w:numId w:val="3"/>
      </w:numPr>
    </w:pPr>
    <w:rPr>
      <w:rFonts w:eastAsiaTheme="minorHAnsi"/>
      <w:szCs w:val="24"/>
      <w:lang w:eastAsia="en-US"/>
    </w:rPr>
  </w:style>
  <w:style w:type="paragraph" w:customStyle="1" w:styleId="40">
    <w:name w:val="Большой список уровень 3"/>
    <w:basedOn w:val="39"/>
    <w:qFormat/>
    <w:uiPriority w:val="0"/>
    <w:pPr>
      <w:numPr>
        <w:ilvl w:val="2"/>
      </w:numPr>
    </w:pPr>
    <w:rPr>
      <w:rFonts w:cstheme="minorBidi"/>
    </w:rPr>
  </w:style>
  <w:style w:type="paragraph" w:customStyle="1" w:styleId="41">
    <w:name w:val="Большой список уровень 4 + без курсива"/>
    <w:basedOn w:val="40"/>
    <w:qFormat/>
    <w:uiPriority w:val="0"/>
    <w:pPr>
      <w:numPr>
        <w:ilvl w:val="3"/>
      </w:numPr>
    </w:pPr>
  </w:style>
  <w:style w:type="paragraph" w:customStyle="1" w:styleId="42">
    <w:name w:val="Большой список маркированный"/>
    <w:basedOn w:val="1"/>
    <w:qFormat/>
    <w:uiPriority w:val="0"/>
    <w:pPr>
      <w:widowControl w:val="0"/>
      <w:numPr>
        <w:ilvl w:val="0"/>
        <w:numId w:val="4"/>
      </w:numPr>
    </w:pPr>
    <w:rPr>
      <w:rFonts w:eastAsiaTheme="minorHAnsi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1123</Words>
  <Characters>8478</Characters>
  <Paragraphs>15</Paragraphs>
  <TotalTime>0</TotalTime>
  <ScaleCrop>false</ScaleCrop>
  <LinksUpToDate>false</LinksUpToDate>
  <CharactersWithSpaces>9610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2022-02-07T01:33:00Z</dcterms:created>
  <dc:creator>Татьяна Ковальчук</dc:creator>
  <cp:lastModifiedBy>WPS_1706838892</cp:lastModifiedBy>
  <cp:lastPrinted>2026-06-01T05:13:06Z</cp:lastPrinted>
  <dcterms:modified xsi:type="dcterms:W3CDTF">2026-06-01T07:29:50Z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201F892EF9A247BA9D081B7988B97127_13</vt:lpwstr>
  </property>
  <property fmtid="{D5CDD505-2E9C-101B-9397-08002B2CF9AE}" pid="4" name="KSOProductBuildVer">
    <vt:lpwstr>1049-12.1.0.26880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eyJoZGlkIjoiOGFlYzZlMjZjOWU4ODZmZjJkNDZlMjRiODRmZDAyOWIiLCJ1c2VySWQiOiI4NDIzMjM2OTI0MTcifQ==</vt:lpwstr>
  </property>
</Properties>
</file>