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64" w:type="dxa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4"/>
      </w:tblGrid>
      <w:tr w14:paraId="102FF8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9164" w:type="dxa"/>
            <w:noWrap w:val="0"/>
            <w:vAlign w:val="bottom"/>
          </w:tcPr>
          <w:p w14:paraId="145BDA8A">
            <w:pPr>
              <w:keepNext/>
              <w:jc w:val="center"/>
              <w:outlineLvl w:val="4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протокол</w:t>
            </w:r>
          </w:p>
          <w:p w14:paraId="6333D8D7">
            <w:pPr>
              <w:ind w:left="0" w:leftChars="0" w:firstLine="0" w:firstLineChars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rFonts w:hint="default"/>
                <w:sz w:val="28"/>
                <w:szCs w:val="28"/>
                <w:lang w:val="ru-RU"/>
              </w:rPr>
              <w:t>0</w:t>
            </w:r>
            <w:r>
              <w:rPr>
                <w:rFonts w:hint="default"/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.</w:t>
            </w:r>
            <w:r>
              <w:rPr>
                <w:rFonts w:hint="default"/>
                <w:sz w:val="28"/>
                <w:szCs w:val="28"/>
                <w:lang w:val="ru-RU"/>
              </w:rPr>
              <w:t>11</w:t>
            </w:r>
            <w:r>
              <w:rPr>
                <w:sz w:val="28"/>
                <w:szCs w:val="28"/>
              </w:rPr>
              <w:t>.20</w:t>
            </w:r>
            <w:r>
              <w:rPr>
                <w:rFonts w:hint="default"/>
                <w:sz w:val="28"/>
                <w:szCs w:val="28"/>
                <w:lang w:val="ru-RU"/>
              </w:rPr>
              <w:t>24г.</w:t>
            </w:r>
            <w:r>
              <w:rPr>
                <w:sz w:val="28"/>
                <w:szCs w:val="28"/>
              </w:rPr>
              <w:t xml:space="preserve">                                                                       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</w:t>
            </w:r>
          </w:p>
        </w:tc>
      </w:tr>
    </w:tbl>
    <w:p w14:paraId="28AC48EE">
      <w:pPr>
        <w:pStyle w:val="7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990B7A3">
      <w:pPr>
        <w:pStyle w:val="7"/>
        <w:widowControl/>
        <w:ind w:right="0" w:firstLine="680"/>
        <w:jc w:val="both"/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>Общественных обсуждений по проекту</w:t>
      </w:r>
      <w:r>
        <w:rPr>
          <w:rFonts w:hint="default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Программы 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single"/>
          <w:lang w:val="en-US" w:eastAsia="ru-RU"/>
        </w:rPr>
        <w:t xml:space="preserve">.                                                                                                                               </w:t>
      </w:r>
    </w:p>
    <w:p w14:paraId="1FF1AEDC">
      <w:pPr>
        <w:pStyle w:val="7"/>
        <w:widowControl/>
        <w:ind w:right="0" w:firstLine="68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проекта, рассмотренного на публичных слушаний)</w:t>
      </w:r>
    </w:p>
    <w:p w14:paraId="7424C06A">
      <w:pPr>
        <w:pStyle w:val="5"/>
        <w:ind w:right="74"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 общественных обсуждений – </w:t>
      </w:r>
      <w:r>
        <w:rPr>
          <w:rFonts w:ascii="Times New Roman" w:hAnsi="Times New Roman" w:cs="Times New Roman"/>
          <w:sz w:val="28"/>
          <w:szCs w:val="28"/>
          <w:lang w:val="ru-RU"/>
        </w:rPr>
        <w:t>Отдел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финансового </w:t>
      </w:r>
      <w:r>
        <w:rPr>
          <w:rFonts w:hint="default" w:ascii="Times New Roman" w:hAnsi="Times New Roman" w:cs="Times New Roman"/>
          <w:sz w:val="28"/>
          <w:szCs w:val="28"/>
          <w:u w:val="single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Анучинского муниципального округа.</w:t>
      </w:r>
    </w:p>
    <w:p w14:paraId="54711206">
      <w:pPr>
        <w:pStyle w:val="5"/>
        <w:spacing w:line="240" w:lineRule="exact"/>
        <w:ind w:right="74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органа, уполномоченного на проведение публичных слушаний)</w:t>
      </w:r>
    </w:p>
    <w:p w14:paraId="1D87A683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территории, в пределах которой проводятся общественные обсуждения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 Анучинский муниципальный округ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A81E1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Общественные обсуждения назначены постановлением администрации Анучинского муниципального округа от </w:t>
      </w:r>
      <w:r>
        <w:rPr>
          <w:rFonts w:hint="default"/>
          <w:sz w:val="28"/>
          <w:szCs w:val="28"/>
          <w:lang w:val="ru-RU"/>
        </w:rPr>
        <w:t>27</w:t>
      </w:r>
      <w:r>
        <w:rPr>
          <w:color w:val="auto"/>
          <w:sz w:val="28"/>
          <w:szCs w:val="28"/>
        </w:rPr>
        <w:t>.</w:t>
      </w:r>
      <w:r>
        <w:rPr>
          <w:rFonts w:hint="default"/>
          <w:color w:val="auto"/>
          <w:sz w:val="28"/>
          <w:szCs w:val="28"/>
          <w:lang w:val="ru-RU"/>
        </w:rPr>
        <w:t>09</w:t>
      </w:r>
      <w:r>
        <w:rPr>
          <w:color w:val="auto"/>
          <w:sz w:val="28"/>
          <w:szCs w:val="28"/>
        </w:rPr>
        <w:t>.</w:t>
      </w:r>
      <w:r>
        <w:rPr>
          <w:sz w:val="28"/>
          <w:szCs w:val="28"/>
        </w:rPr>
        <w:t>20</w:t>
      </w:r>
      <w:r>
        <w:rPr>
          <w:rFonts w:hint="default"/>
          <w:sz w:val="28"/>
          <w:szCs w:val="28"/>
          <w:lang w:val="ru-RU"/>
        </w:rPr>
        <w:t>24г.</w:t>
      </w:r>
      <w:r>
        <w:rPr>
          <w:sz w:val="28"/>
          <w:szCs w:val="28"/>
        </w:rPr>
        <w:t xml:space="preserve"> №</w:t>
      </w:r>
      <w:r>
        <w:rPr>
          <w:rFonts w:hint="default"/>
          <w:sz w:val="28"/>
          <w:szCs w:val="28"/>
          <w:lang w:val="ru-RU"/>
        </w:rPr>
        <w:t xml:space="preserve"> 932</w:t>
      </w:r>
      <w:r>
        <w:rPr>
          <w:sz w:val="28"/>
          <w:szCs w:val="28"/>
        </w:rPr>
        <w:t xml:space="preserve">. </w:t>
      </w:r>
    </w:p>
    <w:p w14:paraId="5FC8CD5F">
      <w:pPr>
        <w:pStyle w:val="7"/>
        <w:widowControl/>
        <w:ind w:right="0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</w:t>
      </w:r>
      <w:r>
        <w:rPr>
          <w:rFonts w:hint="default" w:ascii="Times New Roman" w:hAnsi="Times New Roman" w:cs="Times New Roman"/>
          <w:sz w:val="28"/>
          <w:szCs w:val="28"/>
        </w:rPr>
        <w:t>публиковани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е</w:t>
      </w:r>
      <w:r>
        <w:rPr>
          <w:rFonts w:hint="default" w:ascii="Times New Roman" w:hAnsi="Times New Roman" w:cs="Times New Roman"/>
          <w:sz w:val="28"/>
          <w:szCs w:val="28"/>
        </w:rPr>
        <w:t xml:space="preserve"> оповещения о начале общественных обсуждений на официальном 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 w14:paraId="066169B3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общественных обсуждений –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502ABEA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Материалы проекта размещены на сайте:  </w:t>
      </w:r>
      <w:r>
        <w:rPr>
          <w:rFonts w:hint="default"/>
          <w:sz w:val="28"/>
          <w:szCs w:val="28"/>
          <w:lang w:val="ru-RU"/>
        </w:rPr>
        <w:t>https://анучинский.рф/administraciya/munitsipalnyy-kontrol/kontrol-v-oblasti-blagoustroystva/</w:t>
      </w:r>
    </w:p>
    <w:p w14:paraId="4D54201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Срок, в течение которого принимались предложения и замечания - до </w:t>
      </w:r>
      <w:r>
        <w:rPr>
          <w:rFonts w:hint="default"/>
          <w:sz w:val="28"/>
          <w:szCs w:val="28"/>
          <w:lang w:val="ru-RU"/>
        </w:rPr>
        <w:t>01</w:t>
      </w:r>
      <w:r>
        <w:rPr>
          <w:sz w:val="28"/>
          <w:szCs w:val="28"/>
        </w:rPr>
        <w:t>.</w:t>
      </w:r>
      <w:r>
        <w:rPr>
          <w:rFonts w:hint="default"/>
          <w:sz w:val="28"/>
          <w:szCs w:val="28"/>
          <w:lang w:val="ru-RU"/>
        </w:rPr>
        <w:t>11</w:t>
      </w:r>
      <w:r>
        <w:rPr>
          <w:sz w:val="28"/>
          <w:szCs w:val="28"/>
        </w:rPr>
        <w:t>.20</w:t>
      </w:r>
      <w:r>
        <w:rPr>
          <w:rFonts w:hint="default"/>
          <w:sz w:val="28"/>
          <w:szCs w:val="28"/>
          <w:lang w:val="ru-RU"/>
        </w:rPr>
        <w:t>24г.</w:t>
      </w:r>
      <w:r>
        <w:rPr>
          <w:sz w:val="28"/>
          <w:szCs w:val="28"/>
        </w:rPr>
        <w:t xml:space="preserve"> (включительно). </w:t>
      </w:r>
    </w:p>
    <w:p w14:paraId="479E23DC">
      <w:pPr>
        <w:pStyle w:val="7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опубликования заключения о результатах публичных слушаний 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.20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24г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ED5EDE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принимаются:</w:t>
      </w:r>
    </w:p>
    <w:p w14:paraId="4C086767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посредством официального сайта, адрес:  </w:t>
      </w:r>
      <w:r>
        <w:rPr>
          <w:rFonts w:hint="default"/>
          <w:sz w:val="28"/>
          <w:szCs w:val="28"/>
          <w:lang w:val="ru-RU"/>
        </w:rPr>
        <w:fldChar w:fldCharType="begin"/>
      </w:r>
      <w:r>
        <w:rPr>
          <w:rFonts w:hint="default"/>
          <w:sz w:val="28"/>
          <w:szCs w:val="28"/>
          <w:lang w:val="ru-RU"/>
        </w:rPr>
        <w:instrText xml:space="preserve"> HYPERLINK "https://анучинский.рф/obrashcheniya/sozdat-obrashchenie/" </w:instrText>
      </w:r>
      <w:r>
        <w:rPr>
          <w:rFonts w:hint="default"/>
          <w:sz w:val="28"/>
          <w:szCs w:val="28"/>
          <w:lang w:val="ru-RU"/>
        </w:rPr>
        <w:fldChar w:fldCharType="separate"/>
      </w:r>
      <w:r>
        <w:rPr>
          <w:rStyle w:val="4"/>
          <w:rFonts w:hint="default"/>
          <w:sz w:val="28"/>
          <w:szCs w:val="28"/>
          <w:lang w:val="ru-RU"/>
        </w:rPr>
        <w:t>https://анучинский.рф/obrashcheniya/sozdat-obrashchenie/</w:t>
      </w:r>
      <w:r>
        <w:rPr>
          <w:rFonts w:hint="default"/>
          <w:sz w:val="28"/>
          <w:szCs w:val="28"/>
          <w:lang w:val="ru-RU"/>
        </w:rPr>
        <w:fldChar w:fldCharType="end"/>
      </w:r>
    </w:p>
    <w:p w14:paraId="7AAC5B26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- в письменной форме по адресу: </w:t>
      </w:r>
      <w:r>
        <w:rPr>
          <w:sz w:val="28"/>
          <w:szCs w:val="28"/>
          <w:lang w:val="ru-RU"/>
        </w:rPr>
        <w:t>с</w:t>
      </w:r>
      <w:r>
        <w:rPr>
          <w:rFonts w:hint="default"/>
          <w:sz w:val="28"/>
          <w:szCs w:val="28"/>
          <w:lang w:val="ru-RU"/>
        </w:rPr>
        <w:t>.Анучино ул.Лазо д.6 офис 20.</w:t>
      </w:r>
    </w:p>
    <w:p w14:paraId="47BFEE48">
      <w:pPr>
        <w:ind w:firstLine="709"/>
        <w:contextualSpacing/>
        <w:jc w:val="both"/>
        <w:rPr>
          <w:rFonts w:hint="default"/>
          <w:sz w:val="28"/>
          <w:szCs w:val="28"/>
          <w:lang w:val="ru-RU"/>
        </w:rPr>
      </w:pPr>
    </w:p>
    <w:p w14:paraId="410A6F8A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обсуждения:</w:t>
      </w: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2EA6B1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C5496C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3094A1A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4CFE0DAE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0B95CBA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12846CC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6BADDA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15B21D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BE2D3A2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264B111E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54F6600B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D69DAB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 w14:paraId="461FF1EC">
      <w:pPr>
        <w:ind w:firstLine="709"/>
        <w:contextualSpacing/>
        <w:jc w:val="both"/>
        <w:rPr>
          <w:sz w:val="28"/>
          <w:szCs w:val="28"/>
        </w:rPr>
      </w:pPr>
    </w:p>
    <w:p w14:paraId="76C077D6">
      <w:pPr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Все предложения и замечания иных участников общественных обсуждений:</w:t>
      </w:r>
    </w:p>
    <w:p w14:paraId="6B82F566">
      <w:pPr>
        <w:ind w:firstLine="709"/>
        <w:contextualSpacing/>
        <w:jc w:val="both"/>
        <w:rPr>
          <w:sz w:val="28"/>
          <w:szCs w:val="28"/>
        </w:rPr>
      </w:pPr>
    </w:p>
    <w:tbl>
      <w:tblPr>
        <w:tblStyle w:val="3"/>
        <w:tblW w:w="9565" w:type="dxa"/>
        <w:tblInd w:w="-1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Layout w:type="autofit"/>
        <w:tblCellMar>
          <w:top w:w="0" w:type="dxa"/>
          <w:left w:w="103" w:type="dxa"/>
          <w:bottom w:w="0" w:type="dxa"/>
          <w:right w:w="108" w:type="dxa"/>
        </w:tblCellMar>
      </w:tblPr>
      <w:tblGrid>
        <w:gridCol w:w="1978"/>
        <w:gridCol w:w="3068"/>
        <w:gridCol w:w="1890"/>
        <w:gridCol w:w="2629"/>
      </w:tblGrid>
      <w:tr w14:paraId="7CD49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64B9DCE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ФИО/</w:t>
            </w:r>
          </w:p>
          <w:p w14:paraId="11629034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6F624E4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рождения, адрес места жительства (регистрации)/ОГРН, место нахождения и адрес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67C11218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предложений, замечаний</w:t>
            </w:r>
          </w:p>
          <w:p w14:paraId="032DA5B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(письменная, устная форма, посредством официального сайта)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5CF0C2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Предложения и замечания</w:t>
            </w:r>
          </w:p>
        </w:tc>
      </w:tr>
      <w:tr w14:paraId="130643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none" w:color="auto" w:sz="0" w:space="0"/>
            <w:insideH w:val="single" w:color="000000" w:sz="4" w:space="0"/>
            <w:insideV w:val="none" w:color="auto" w:sz="0" w:space="0"/>
          </w:tblBorders>
          <w:tblCellMar>
            <w:top w:w="0" w:type="dxa"/>
            <w:left w:w="103" w:type="dxa"/>
            <w:bottom w:w="0" w:type="dxa"/>
            <w:right w:w="108" w:type="dxa"/>
          </w:tblCellMar>
        </w:tblPrEx>
        <w:tc>
          <w:tcPr>
            <w:tcW w:w="1978" w:type="dxa"/>
            <w:noWrap w:val="0"/>
            <w:vAlign w:val="top"/>
          </w:tcPr>
          <w:p w14:paraId="110B6D14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3068" w:type="dxa"/>
            <w:tcBorders>
              <w:left w:val="single" w:color="000000" w:sz="4" w:space="0"/>
            </w:tcBorders>
            <w:noWrap w:val="0"/>
            <w:vAlign w:val="top"/>
          </w:tcPr>
          <w:p w14:paraId="5BB23D67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1890" w:type="dxa"/>
            <w:tcBorders>
              <w:left w:val="single" w:color="000000" w:sz="4" w:space="0"/>
            </w:tcBorders>
            <w:noWrap w:val="0"/>
            <w:vAlign w:val="top"/>
          </w:tcPr>
          <w:p w14:paraId="5DD5460B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  <w:tc>
          <w:tcPr>
            <w:tcW w:w="2628" w:type="dxa"/>
            <w:tcBorders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 w14:paraId="29583D8F">
            <w:pPr>
              <w:snapToGrid w:val="0"/>
              <w:contextualSpacing/>
              <w:jc w:val="both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-</w:t>
            </w:r>
          </w:p>
        </w:tc>
      </w:tr>
    </w:tbl>
    <w:p w14:paraId="632A72EE">
      <w:pPr>
        <w:ind w:firstLine="709"/>
        <w:jc w:val="both"/>
        <w:outlineLvl w:val="2"/>
        <w:rPr>
          <w:sz w:val="28"/>
          <w:szCs w:val="28"/>
        </w:rPr>
      </w:pPr>
    </w:p>
    <w:p w14:paraId="0620D0B2">
      <w:pPr>
        <w:ind w:firstLine="709"/>
        <w:jc w:val="both"/>
        <w:outlineLvl w:val="2"/>
        <w:rPr>
          <w:sz w:val="28"/>
          <w:szCs w:val="28"/>
        </w:rPr>
      </w:pPr>
    </w:p>
    <w:p w14:paraId="7FDF4335">
      <w:pPr>
        <w:spacing w:line="240" w:lineRule="exact"/>
        <w:ind w:left="1701" w:hanging="1701"/>
        <w:jc w:val="both"/>
        <w:rPr>
          <w:sz w:val="28"/>
          <w:szCs w:val="28"/>
        </w:rPr>
      </w:pPr>
    </w:p>
    <w:p w14:paraId="3D85E922"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 w14:paraId="34D93BC8"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p w14:paraId="793AB495">
      <w:pPr>
        <w:ind w:firstLine="4678"/>
        <w:jc w:val="both"/>
        <w:rPr>
          <w:sz w:val="28"/>
          <w:szCs w:val="28"/>
        </w:rPr>
      </w:pPr>
    </w:p>
    <w:p w14:paraId="56E29421">
      <w:pPr>
        <w:ind w:firstLine="4678"/>
        <w:jc w:val="both"/>
        <w:rPr>
          <w:sz w:val="28"/>
          <w:szCs w:val="28"/>
        </w:rPr>
      </w:pPr>
    </w:p>
    <w:p w14:paraId="2425717F">
      <w:pPr>
        <w:ind w:firstLine="4678"/>
        <w:jc w:val="both"/>
        <w:rPr>
          <w:sz w:val="28"/>
          <w:szCs w:val="28"/>
        </w:rPr>
      </w:pPr>
    </w:p>
    <w:p w14:paraId="74027BE3">
      <w:pPr>
        <w:ind w:firstLine="4678"/>
        <w:jc w:val="both"/>
        <w:rPr>
          <w:sz w:val="28"/>
          <w:szCs w:val="28"/>
        </w:rPr>
      </w:pPr>
    </w:p>
    <w:p w14:paraId="306E322E">
      <w:pPr>
        <w:ind w:firstLine="4678"/>
        <w:jc w:val="both"/>
        <w:rPr>
          <w:sz w:val="28"/>
          <w:szCs w:val="28"/>
        </w:rPr>
      </w:pPr>
    </w:p>
    <w:p w14:paraId="36E66B48">
      <w:pPr>
        <w:ind w:firstLine="4678"/>
        <w:jc w:val="both"/>
        <w:rPr>
          <w:sz w:val="28"/>
          <w:szCs w:val="28"/>
        </w:rPr>
      </w:pPr>
    </w:p>
    <w:p w14:paraId="49DBF62A">
      <w:pPr>
        <w:ind w:firstLine="4678"/>
        <w:jc w:val="both"/>
        <w:rPr>
          <w:sz w:val="28"/>
          <w:szCs w:val="28"/>
        </w:rPr>
      </w:pPr>
    </w:p>
    <w:p w14:paraId="704535DA">
      <w:pPr>
        <w:ind w:firstLine="4678"/>
        <w:jc w:val="both"/>
        <w:rPr>
          <w:sz w:val="28"/>
          <w:szCs w:val="28"/>
        </w:rPr>
      </w:pPr>
    </w:p>
    <w:p w14:paraId="7B26181D">
      <w:pPr>
        <w:ind w:firstLine="4678"/>
        <w:jc w:val="both"/>
        <w:rPr>
          <w:sz w:val="28"/>
          <w:szCs w:val="28"/>
        </w:rPr>
      </w:pPr>
    </w:p>
    <w:p w14:paraId="1F777E54">
      <w:pPr>
        <w:ind w:firstLine="4678"/>
        <w:jc w:val="both"/>
        <w:rPr>
          <w:sz w:val="28"/>
          <w:szCs w:val="28"/>
        </w:rPr>
      </w:pPr>
    </w:p>
    <w:p w14:paraId="3A8FE3CB">
      <w:pPr>
        <w:ind w:firstLine="4678"/>
        <w:jc w:val="both"/>
        <w:rPr>
          <w:sz w:val="28"/>
          <w:szCs w:val="28"/>
        </w:rPr>
      </w:pPr>
    </w:p>
    <w:p w14:paraId="3CD0FEA5">
      <w:pPr>
        <w:ind w:firstLine="4678"/>
        <w:jc w:val="both"/>
        <w:rPr>
          <w:sz w:val="28"/>
          <w:szCs w:val="28"/>
        </w:rPr>
      </w:pPr>
    </w:p>
    <w:p w14:paraId="43E1F92A">
      <w:pPr>
        <w:ind w:firstLine="4678"/>
        <w:jc w:val="both"/>
        <w:rPr>
          <w:sz w:val="28"/>
          <w:szCs w:val="28"/>
        </w:rPr>
      </w:pPr>
    </w:p>
    <w:p w14:paraId="59894496">
      <w:pPr>
        <w:ind w:firstLine="4678"/>
        <w:jc w:val="both"/>
        <w:rPr>
          <w:sz w:val="28"/>
          <w:szCs w:val="28"/>
        </w:rPr>
      </w:pPr>
    </w:p>
    <w:p w14:paraId="14EB840A">
      <w:pPr>
        <w:ind w:firstLine="4678"/>
        <w:jc w:val="both"/>
        <w:rPr>
          <w:sz w:val="28"/>
          <w:szCs w:val="28"/>
        </w:rPr>
      </w:pPr>
    </w:p>
    <w:p w14:paraId="4A7C1E63">
      <w:pPr>
        <w:ind w:firstLine="4678"/>
        <w:jc w:val="both"/>
        <w:rPr>
          <w:sz w:val="28"/>
          <w:szCs w:val="28"/>
        </w:rPr>
      </w:pPr>
    </w:p>
    <w:p w14:paraId="210B2FC3">
      <w:pPr>
        <w:ind w:firstLine="4678"/>
        <w:jc w:val="both"/>
        <w:rPr>
          <w:sz w:val="28"/>
          <w:szCs w:val="28"/>
        </w:rPr>
      </w:pPr>
    </w:p>
    <w:p w14:paraId="53643E8F">
      <w:pPr>
        <w:ind w:firstLine="4678"/>
        <w:jc w:val="both"/>
        <w:rPr>
          <w:sz w:val="28"/>
          <w:szCs w:val="28"/>
        </w:rPr>
      </w:pPr>
    </w:p>
    <w:p w14:paraId="62E06052">
      <w:pPr>
        <w:ind w:firstLine="4678"/>
        <w:jc w:val="both"/>
        <w:rPr>
          <w:sz w:val="28"/>
          <w:szCs w:val="28"/>
        </w:rPr>
      </w:pPr>
    </w:p>
    <w:p w14:paraId="6F43B469">
      <w:pPr>
        <w:ind w:firstLine="4678"/>
        <w:jc w:val="both"/>
        <w:rPr>
          <w:sz w:val="28"/>
          <w:szCs w:val="28"/>
        </w:rPr>
      </w:pPr>
    </w:p>
    <w:p w14:paraId="0326BFC3">
      <w:pPr>
        <w:ind w:left="4962"/>
        <w:rPr>
          <w:sz w:val="28"/>
          <w:szCs w:val="28"/>
        </w:rPr>
      </w:pPr>
    </w:p>
    <w:p w14:paraId="444481BB">
      <w:pPr>
        <w:ind w:left="4962"/>
        <w:rPr>
          <w:sz w:val="28"/>
          <w:szCs w:val="28"/>
        </w:rPr>
      </w:pPr>
    </w:p>
    <w:p w14:paraId="5B24DCA8">
      <w:pPr>
        <w:ind w:left="4962"/>
        <w:rPr>
          <w:sz w:val="28"/>
          <w:szCs w:val="28"/>
        </w:rPr>
      </w:pPr>
    </w:p>
    <w:p w14:paraId="7C46F446">
      <w:pPr>
        <w:ind w:left="4962"/>
        <w:rPr>
          <w:sz w:val="28"/>
          <w:szCs w:val="28"/>
        </w:rPr>
      </w:pPr>
    </w:p>
    <w:p w14:paraId="11017D2B">
      <w:pPr>
        <w:ind w:left="4962"/>
        <w:rPr>
          <w:sz w:val="28"/>
          <w:szCs w:val="28"/>
        </w:rPr>
      </w:pPr>
    </w:p>
    <w:p w14:paraId="6EBE062E">
      <w:pPr>
        <w:ind w:left="4962"/>
        <w:rPr>
          <w:sz w:val="28"/>
          <w:szCs w:val="28"/>
        </w:rPr>
      </w:pPr>
    </w:p>
    <w:p w14:paraId="36435B62">
      <w:pPr>
        <w:ind w:left="0" w:leftChars="0" w:firstLine="0" w:firstLineChars="0"/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14:paraId="3048A279">
      <w:pPr>
        <w:ind w:left="0" w:leftChars="0" w:firstLine="0" w:firstLineChars="0"/>
        <w:jc w:val="center"/>
        <w:rPr>
          <w:sz w:val="28"/>
          <w:szCs w:val="28"/>
        </w:rPr>
      </w:pPr>
    </w:p>
    <w:p w14:paraId="4DE57990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О результатах общественных обсуждений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ru-RU" w:eastAsia="ru-RU"/>
        </w:rPr>
        <w:t xml:space="preserve">Программы </w:t>
      </w:r>
      <w:r>
        <w:rPr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rFonts w:hint="default"/>
          <w:sz w:val="28"/>
          <w:szCs w:val="28"/>
        </w:rPr>
        <w:t>Приморского края</w:t>
      </w:r>
      <w:r>
        <w:rPr>
          <w:rFonts w:hint="default"/>
          <w:sz w:val="28"/>
          <w:szCs w:val="28"/>
          <w:lang w:val="ru-RU"/>
        </w:rPr>
        <w:t xml:space="preserve"> на 2025 год.</w:t>
      </w:r>
    </w:p>
    <w:p w14:paraId="4CD62AB4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Реквизиты протокола общественных обсуждений – от 0</w:t>
      </w:r>
      <w:r>
        <w:rPr>
          <w:rFonts w:hint="default"/>
          <w:sz w:val="28"/>
          <w:szCs w:val="28"/>
          <w:lang w:val="en-US"/>
        </w:rPr>
        <w:t>5</w:t>
      </w:r>
      <w:bookmarkStart w:id="0" w:name="_GoBack"/>
      <w:bookmarkEnd w:id="0"/>
      <w:r>
        <w:rPr>
          <w:rFonts w:hint="default"/>
          <w:sz w:val="28"/>
          <w:szCs w:val="28"/>
          <w:lang w:val="ru-RU"/>
        </w:rPr>
        <w:t>.11.2024г.</w:t>
      </w:r>
    </w:p>
    <w:p w14:paraId="2446B273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Количество участников общественных обсуждений - 0 человек.</w:t>
      </w:r>
    </w:p>
    <w:p w14:paraId="73A11891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участников общественных обсуждений, постоянно проживающих на территории, в пределах, которой проводятся общественные обсуждения: не поступило.</w:t>
      </w:r>
    </w:p>
    <w:p w14:paraId="053D2FCA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Содержание внесенных предложений и замечаний иных участников общественных обсуждений: не поступило.</w:t>
      </w:r>
    </w:p>
    <w:p w14:paraId="586B90AB">
      <w:pPr>
        <w:spacing w:line="360" w:lineRule="auto"/>
        <w:ind w:firstLine="709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Выводы по результатам общественных обсуждений: утвердить п</w:t>
      </w:r>
      <w:r>
        <w:rPr>
          <w:rFonts w:hint="default"/>
          <w:sz w:val="28"/>
          <w:szCs w:val="28"/>
          <w:lang w:val="ru-RU" w:eastAsia="ru-RU"/>
        </w:rPr>
        <w:t xml:space="preserve">рограмму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 Приморского края на 202</w:t>
      </w:r>
      <w:r>
        <w:rPr>
          <w:rFonts w:hint="default" w:cs="Times New Roman"/>
          <w:sz w:val="28"/>
          <w:szCs w:val="28"/>
          <w:lang w:val="en-US" w:eastAsia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u w:val="none"/>
          <w:lang w:val="ru-RU" w:eastAsia="ru-RU"/>
        </w:rPr>
        <w:t>год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ru-RU"/>
        </w:rPr>
        <w:t xml:space="preserve">.                                                                                                         </w:t>
      </w:r>
    </w:p>
    <w:p w14:paraId="6FC3B98E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2BCF5E5B"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Главный специалист отдела финансового контроля</w:t>
      </w:r>
    </w:p>
    <w:p w14:paraId="79EE4B4A">
      <w:pPr>
        <w:ind w:left="0" w:leftChars="0" w:firstLine="0" w:firstLine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администрации Анучинского МО                           </w:t>
      </w:r>
      <w:r>
        <w:rPr>
          <w:rFonts w:hint="default"/>
          <w:sz w:val="28"/>
          <w:szCs w:val="28"/>
          <w:lang w:val="en-US"/>
        </w:rPr>
        <w:t xml:space="preserve">           </w:t>
      </w:r>
      <w:r>
        <w:rPr>
          <w:rFonts w:hint="default"/>
          <w:sz w:val="28"/>
          <w:szCs w:val="28"/>
          <w:lang w:val="ru-RU"/>
        </w:rPr>
        <w:t xml:space="preserve">           Меховский В.В.</w:t>
      </w:r>
    </w:p>
    <w:p w14:paraId="3092D49A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6536673D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7B24DA59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6F147290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609397A7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2EE0EE68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7D2E8BE5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35798D1D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7FE92B65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53BA9FB8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p w14:paraId="3C356B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общественного обсуждения проекта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F572A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общественного обсуждения: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01.10.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01.11.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</w:p>
    <w:p w14:paraId="7C3999E6">
      <w:pPr>
        <w:ind w:firstLine="709"/>
        <w:contextualSpacing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>
        <w:rPr>
          <w:rFonts w:hint="default" w:ascii="Times New Roman" w:hAnsi="Times New Roman" w:cs="Times New Roman"/>
          <w:sz w:val="28"/>
          <w:szCs w:val="28"/>
          <w:lang w:val="ru-RU" w:eastAsia="ru-RU"/>
        </w:rPr>
        <w:t xml:space="preserve">Программы </w:t>
      </w: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устанавливает порядок проведения профилактических мероприятий, направленных на предупреждение причинение вреда (ущерба) охраняемым законом ценностям при осуществлении муниципального контроля в сфере благоустройства на территории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Приморского края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 xml:space="preserve">размещен на официальном сайте муниципального образования в информационно-телекоммуникационной сети «Интернет»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https://анучинский.рф/administraciya/munitsipalnyy-kontrol/kontrol-v-oblasti-blagoustroystva/</w:t>
      </w:r>
    </w:p>
    <w:p w14:paraId="7B8A58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4105"/>
      </w:tblGrid>
      <w:tr w14:paraId="5DA12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0A8C7B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4105" w:type="dxa"/>
          </w:tcPr>
          <w:p w14:paraId="63281B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66907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56CE53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учетных предложений</w:t>
            </w:r>
          </w:p>
        </w:tc>
        <w:tc>
          <w:tcPr>
            <w:tcW w:w="4105" w:type="dxa"/>
          </w:tcPr>
          <w:p w14:paraId="3146E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74BE2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77A0B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4105" w:type="dxa"/>
          </w:tcPr>
          <w:p w14:paraId="4829E2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14:paraId="6051B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40" w:type="dxa"/>
          </w:tcPr>
          <w:p w14:paraId="54F71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Общее количество отклоненных предложений</w:t>
            </w:r>
          </w:p>
        </w:tc>
        <w:tc>
          <w:tcPr>
            <w:tcW w:w="4105" w:type="dxa"/>
          </w:tcPr>
          <w:p w14:paraId="5C138C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ECD12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3119"/>
        <w:gridCol w:w="3327"/>
        <w:gridCol w:w="2337"/>
      </w:tblGrid>
      <w:tr w14:paraId="3CC44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4190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FEF36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9" w:type="dxa"/>
          </w:tcPr>
          <w:p w14:paraId="79A804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обсуждения</w:t>
            </w:r>
          </w:p>
        </w:tc>
        <w:tc>
          <w:tcPr>
            <w:tcW w:w="3327" w:type="dxa"/>
          </w:tcPr>
          <w:p w14:paraId="0246BC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2337" w:type="dxa"/>
          </w:tcPr>
          <w:p w14:paraId="3B2E0F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14:paraId="5F1A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5376B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1A2C26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27" w:type="dxa"/>
          </w:tcPr>
          <w:p w14:paraId="3209A8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7" w:type="dxa"/>
          </w:tcPr>
          <w:p w14:paraId="625C1E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776573B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2FC2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CF00F5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929E45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специалист отдела финансового контроля</w:t>
      </w:r>
    </w:p>
    <w:p w14:paraId="7CE3865B">
      <w:pPr>
        <w:spacing w:after="0" w:line="240" w:lineRule="auto"/>
        <w:jc w:val="both"/>
        <w:rPr>
          <w:rFonts w:hint="default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Анучинского </w:t>
      </w:r>
      <w:r>
        <w:rPr>
          <w:rFonts w:ascii="Times New Roman" w:hAnsi="Times New Roman" w:cs="Times New Roman"/>
          <w:sz w:val="28"/>
          <w:szCs w:val="28"/>
          <w:lang w:val="ru-RU"/>
        </w:rPr>
        <w:t>МО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Меховский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В.В.</w:t>
      </w:r>
    </w:p>
    <w:p w14:paraId="5D24D398">
      <w:pPr>
        <w:ind w:firstLine="709"/>
        <w:jc w:val="both"/>
        <w:rPr>
          <w:rFonts w:hint="default"/>
          <w:sz w:val="28"/>
          <w:szCs w:val="28"/>
          <w:lang w:val="ru-RU"/>
        </w:rPr>
      </w:pPr>
    </w:p>
    <w:sectPr>
      <w:pgSz w:w="11906" w:h="16838"/>
      <w:pgMar w:top="1134" w:right="851" w:bottom="567" w:left="1701" w:header="0" w:footer="0" w:gutter="0"/>
      <w:pgNumType w:start="1"/>
      <w:cols w:space="720" w:num="1"/>
      <w:formProt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C13C8"/>
    <w:rsid w:val="15FF4CDC"/>
    <w:rsid w:val="16E337C7"/>
    <w:rsid w:val="22542AC6"/>
    <w:rsid w:val="25842A88"/>
    <w:rsid w:val="26BF2DA4"/>
    <w:rsid w:val="2DE14843"/>
    <w:rsid w:val="3C483A28"/>
    <w:rsid w:val="439C13C8"/>
    <w:rsid w:val="4E302D0D"/>
    <w:rsid w:val="63FB7560"/>
    <w:rsid w:val="731E19E6"/>
    <w:rsid w:val="73A9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Plain Text"/>
    <w:basedOn w:val="1"/>
    <w:qFormat/>
    <w:uiPriority w:val="0"/>
    <w:rPr>
      <w:rFonts w:ascii="Courier New" w:hAnsi="Courier New" w:cs="Courier New"/>
      <w:sz w:val="20"/>
      <w:szCs w:val="20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0"/>
    <w:pPr>
      <w:widowControl w:val="0"/>
      <w:ind w:right="19772" w:firstLine="720"/>
    </w:pPr>
    <w:rPr>
      <w:rFonts w:ascii="Arial" w:hAnsi="Arial" w:eastAsia="NSimSun" w:cs="Arial"/>
      <w:kern w:val="2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408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2022-04-01T05:27:00Z</dcterms:created>
  <dc:creator>MehovskiyVV</dc:creator>
  <cp:lastModifiedBy>WPS_1706838892</cp:lastModifiedBy>
  <cp:lastPrinted>2024-11-02T02:19:17Z</cp:lastPrinted>
  <dcterms:modified xsi:type="dcterms:W3CDTF">2024-11-02T04:58:11Z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B25D256049EA4457B5851BF044FCA52D</vt:lpwstr>
  </property>
</Properties>
</file>