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34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734"/>
      </w:tblGrid>
      <w:tr w14:paraId="6F91B94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734" w:type="dxa"/>
          </w:tcPr>
          <w:p w14:paraId="55B4EB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1E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4A33D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453C0A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1E3C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41A33747">
            <w:pPr>
              <w:ind w:firstLine="280" w:firstLineChars="1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                                 с. Анучино                                № _______ </w:t>
            </w:r>
          </w:p>
          <w:p w14:paraId="7CA044A7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муниципальной программы </w:t>
            </w:r>
          </w:p>
          <w:p w14:paraId="473CC139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«Укрепление общественного здоровья в Анучинском муниципальном округ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на 2025-2029 годы»</w:t>
            </w:r>
          </w:p>
          <w:p w14:paraId="40EE969F">
            <w:pPr>
              <w:pStyle w:val="10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2BC4388">
            <w:pPr>
              <w:pStyle w:val="10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FF58919">
            <w:pPr>
              <w:pStyle w:val="10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округе»,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360E2E7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1F2464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A269DA4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2F0EDD0F">
      <w:pPr>
        <w:shd w:val="clear" w:color="auto" w:fill="FFFFFF" w:themeFill="background1"/>
        <w:spacing w:after="0" w:line="360" w:lineRule="auto"/>
        <w:ind w:left="40" w:firstLine="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>«Укрепление общественного здоровья в Анучинском муниципальном округе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2025-2029 годы» (прилагается).</w:t>
      </w:r>
    </w:p>
    <w:p w14:paraId="421A43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(Бурдейной)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19B1A39E">
      <w:pPr>
        <w:autoSpaceDE w:val="0"/>
        <w:autoSpaceDN w:val="0"/>
        <w:adjustRightInd w:val="0"/>
        <w:spacing w:after="0" w:line="360" w:lineRule="auto"/>
        <w:ind w:firstLine="658" w:firstLineChars="23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0D0D7172">
      <w:pPr>
        <w:spacing w:after="0" w:line="360" w:lineRule="auto"/>
        <w:ind w:firstLine="658" w:firstLineChars="235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1D2A9AC6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14:paraId="45AD0499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7E59D82D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27BC0F0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2E592DE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2C1545B4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2056AA49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319B80C2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4053768D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63FD5BF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13C5F64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34974AC3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p w14:paraId="024D2E1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7"/>
        <w:gridCol w:w="5449"/>
      </w:tblGrid>
      <w:tr w14:paraId="07E24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2CBED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345F941">
            <w:pPr>
              <w:spacing w:after="0" w:line="240" w:lineRule="auto"/>
              <w:ind w:left="75" w:firstLine="364" w:firstLineChars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14:paraId="27BB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4157" w:type="dxa"/>
          </w:tcPr>
          <w:p w14:paraId="6A11E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2C8115A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6936C16D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768E021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14:paraId="0E4B4732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КГБУЗ "Анучинская ЦРБ"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(по согласованию)</w:t>
            </w:r>
          </w:p>
          <w:p w14:paraId="6367166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Общественные организации (по согласованию)</w:t>
            </w:r>
          </w:p>
        </w:tc>
      </w:tr>
      <w:tr w14:paraId="11AE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7E1D9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0F4492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86B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38DF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0CC9125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14:paraId="01F4F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4157" w:type="dxa"/>
          </w:tcPr>
          <w:p w14:paraId="672DD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79895B58">
            <w:pPr>
              <w:spacing w:after="0" w:line="240" w:lineRule="auto"/>
              <w:ind w:left="0" w:leftChars="0" w:firstLine="254" w:firstLineChars="91"/>
              <w:jc w:val="both"/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информационно - коммуникационной кампании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;</w:t>
            </w:r>
          </w:p>
          <w:p w14:paraId="1B2ACAC3">
            <w:pPr>
              <w:spacing w:after="0" w:line="240" w:lineRule="auto"/>
              <w:ind w:left="0" w:leftChars="0" w:firstLine="254" w:firstLineChars="91"/>
              <w:jc w:val="both"/>
              <w:rPr>
                <w:rFonts w:hint="default" w:ascii="Calibri" w:hAnsi="Calibri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5E0FB816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  <w:p w14:paraId="5A20F9C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</w:tc>
      </w:tr>
      <w:tr w14:paraId="79D24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</w:trPr>
        <w:tc>
          <w:tcPr>
            <w:tcW w:w="4157" w:type="dxa"/>
          </w:tcPr>
          <w:p w14:paraId="01B3A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  <w:shd w:val="clear" w:color="auto" w:fill="FFFFFF" w:themeFill="background1"/>
          </w:tcPr>
          <w:p w14:paraId="7307B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437" w:firstLineChars="154"/>
              <w:jc w:val="both"/>
              <w:textAlignment w:val="auto"/>
              <w:rPr>
                <w:rFonts w:hint="default" w:ascii="Times New Roman" w:hAnsi="Times New Roman" w:cs="Times New Roman"/>
                <w:spacing w:val="2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>Постановление Правительства Российской Федерации от 26 декабря 2017 года № 1640 «Об утверждении государственной программы Российской Федерации "Развитие здравоохранения»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(ред. от 13.07.2024);</w:t>
            </w:r>
          </w:p>
          <w:p w14:paraId="3BE60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left="0" w:leftChars="0" w:firstLine="431" w:firstLineChars="154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едеральный закон от 21.11.2011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 323-ФЗ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"Об основах охраны здоровья граждан в Российской Федерации"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 (ред. от 08.08.2024)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;</w:t>
            </w:r>
          </w:p>
          <w:p w14:paraId="5E591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/>
              <w:ind w:left="0" w:leftChars="0" w:firstLine="431" w:firstLineChars="154"/>
              <w:jc w:val="both"/>
              <w:textAlignment w:val="auto"/>
              <w:rPr>
                <w:rFonts w:hint="default"/>
                <w:spacing w:val="2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Постановление Администрации Приморского края от 27.12.2019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 932-па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"Об утверждении государственной программы Приморского края "Развитие здравоохранения Приморского края"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(ред. от 09.07.2024)</w:t>
            </w:r>
          </w:p>
        </w:tc>
      </w:tr>
      <w:tr w14:paraId="430B4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9C19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9DA312C">
            <w:pPr>
              <w:tabs>
                <w:tab w:val="left" w:pos="284"/>
              </w:tabs>
              <w:spacing w:line="240" w:lineRule="auto"/>
              <w:ind w:left="0" w:leftChars="0" w:firstLine="439" w:firstLineChars="157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</w:t>
            </w:r>
          </w:p>
        </w:tc>
      </w:tr>
      <w:tr w14:paraId="092A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57" w:type="dxa"/>
          </w:tcPr>
          <w:p w14:paraId="3C0E5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146CE7F">
            <w:pPr>
              <w:spacing w:after="0" w:line="240" w:lineRule="auto"/>
              <w:ind w:left="0" w:leftChars="0" w:firstLine="439" w:firstLineChars="1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среды, способствующей ведению гражданами здорового образа жизни за счет мотивирования граждан и некоммерческих организаций в мероприятия по укреплению общественного здоровья посредством информационно-коммуникационной кампании.</w:t>
            </w:r>
          </w:p>
          <w:p w14:paraId="15BF8000">
            <w:pPr>
              <w:tabs>
                <w:tab w:val="left" w:pos="220"/>
                <w:tab w:val="left" w:pos="440"/>
              </w:tabs>
              <w:ind w:left="0" w:leftChars="0" w:firstLine="439" w:firstLineChars="1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жизни.</w:t>
            </w:r>
          </w:p>
        </w:tc>
      </w:tr>
      <w:tr w14:paraId="1C358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1D870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5E79D3B4">
            <w:pPr>
              <w:spacing w:after="0" w:line="240" w:lineRule="auto"/>
              <w:ind w:left="0" w:leftChars="0" w:firstLine="439" w:firstLineChars="157"/>
              <w:jc w:val="both"/>
              <w:rPr>
                <w:rFonts w:ascii="Times New Roman" w:hAnsi="Times New Roman" w:eastAsia="Lucida Sans Unicode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hAnsi="Times New Roman" w:eastAsia="Lucida Sans Unicode" w:cs="Times New Roman"/>
                <w:color w:val="000000"/>
                <w:sz w:val="28"/>
                <w:szCs w:val="28"/>
              </w:rPr>
              <w:t xml:space="preserve">, в возрасте 16-59 лет; </w:t>
            </w:r>
          </w:p>
          <w:p w14:paraId="7364862B">
            <w:pPr>
              <w:spacing w:after="0" w:line="240" w:lineRule="auto"/>
              <w:ind w:left="0" w:leftChars="0" w:firstLine="439" w:firstLineChars="157"/>
              <w:jc w:val="both"/>
              <w:rPr>
                <w:rFonts w:ascii="Times New Roman" w:hAnsi="Times New Roman" w:eastAsia="Lucida Sans Unicode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Смертность женщин трудоспособного возраста на 100 тыс. населения</w:t>
            </w:r>
            <w:r>
              <w:rPr>
                <w:rFonts w:ascii="Times New Roman" w:hAnsi="Times New Roman" w:eastAsia="Lucida Sans Unicode" w:cs="Times New Roman"/>
                <w:color w:val="000000"/>
                <w:sz w:val="28"/>
                <w:szCs w:val="28"/>
              </w:rPr>
              <w:t>, в возрасте 16-54 лет;</w:t>
            </w:r>
          </w:p>
          <w:p w14:paraId="7B8944C2">
            <w:pPr>
              <w:tabs>
                <w:tab w:val="left" w:pos="440"/>
              </w:tabs>
              <w:spacing w:after="0" w:line="240" w:lineRule="auto"/>
              <w:ind w:left="0" w:leftChars="0" w:firstLine="439" w:firstLineChars="15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color w:val="000000"/>
                <w:sz w:val="28"/>
                <w:szCs w:val="28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жизни.</w:t>
            </w:r>
          </w:p>
        </w:tc>
      </w:tr>
      <w:tr w14:paraId="479B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5FAC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5184C45">
            <w:pPr>
              <w:pStyle w:val="26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395BA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14:paraId="3083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  <w:shd w:val="clear" w:color="auto" w:fill="auto"/>
          </w:tcPr>
          <w:p w14:paraId="50D71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239E77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5EEB80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72178E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71F31E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63F70D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429CC5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742999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4286C5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14:paraId="25AC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4CDE9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05DC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1173ABB0">
            <w:pPr>
              <w:pStyle w:val="31"/>
              <w:ind w:left="0" w:leftChars="0" w:firstLine="218" w:firstLineChars="78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Повышение уровня вовлеченности населения в профилактические мероприятия с целью укрепления здоровья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>;</w:t>
            </w:r>
          </w:p>
          <w:p w14:paraId="321D3E30">
            <w:pPr>
              <w:pStyle w:val="31"/>
              <w:ind w:left="0" w:leftChars="0" w:firstLine="218" w:firstLineChars="78"/>
              <w:jc w:val="both"/>
              <w:rPr>
                <w:rFonts w:hint="default" w:ascii="Times New Roman" w:hAnsi="Times New Roman" w:cs="Times New Roman"/>
                <w:color w:val="22272F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Снижение смертности и улучшение здоровья населения, в первую очередь трудоспособного, за счет снижения факторов риска, выявления заболеваний на ранней стадии путем проведения профилактических осмотров и диспансеризации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1793E219">
      <w:pPr>
        <w:pStyle w:val="26"/>
        <w:autoSpaceDE w:val="0"/>
        <w:ind w:left="0"/>
        <w:jc w:val="both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344DD73C">
      <w:pPr>
        <w:pStyle w:val="26"/>
        <w:autoSpaceDE w:val="0"/>
        <w:ind w:left="360"/>
        <w:jc w:val="center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5930D285">
      <w:pPr>
        <w:pStyle w:val="26"/>
        <w:autoSpaceDE w:val="0"/>
        <w:ind w:left="36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3EF4DF16">
      <w:pPr>
        <w:spacing w:after="0"/>
        <w:ind w:firstLine="85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Площадь Анучинского округа – 3885,4 кв. км, что составляет 2,4% площади Приморского края. Округ граничит на севере со Спасским районом, на северо-западе – с Черниговским, на востоке – с Яковлевским, Чугуевским районами и городом Арсеньев, на юго-востоке – с Партизанским, на юге – с городом Партизанск, на юго-западе – со Шкотовским, на западе – с Михайловским районом.</w:t>
      </w:r>
    </w:p>
    <w:p w14:paraId="72B54AA8">
      <w:pPr>
        <w:spacing w:after="0"/>
        <w:ind w:firstLine="85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Сеть населенных пунктов в границах округа представлена 29 сельскими населенными пунктами, которые образуют единую систему расселения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окружного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уровня с центром в с. Анучино с общей численностью населения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12237</w:t>
      </w:r>
      <w:r>
        <w:rPr>
          <w:rFonts w:hint="default" w:ascii="Times New Roman" w:hAnsi="Times New Roman" w:cs="Times New Roman"/>
          <w:sz w:val="28"/>
          <w:szCs w:val="28"/>
        </w:rPr>
        <w:t xml:space="preserve"> человек. В трех крупных селах района с. Анучино, Чернышевка и Гражданка проживает 54% населения (таблица 1).</w:t>
      </w:r>
    </w:p>
    <w:p w14:paraId="5C382F12">
      <w:pPr>
        <w:pStyle w:val="38"/>
        <w:autoSpaceDE/>
        <w:autoSpaceDN/>
        <w:adjustRightInd/>
        <w:spacing w:line="276" w:lineRule="auto"/>
        <w:ind w:firstLine="85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Анучинский муниципальный округ входит в состав системы расселения центральной части Приморского края. Расстояние от с. Анучино до краевого центра г. Владивостока составляет 240 км по железной дороге и 233 км по автомобильной дороге; до ближайшего большого города (г. Уссурийск) – 130 км. по автомобильной дороге, до ближайшего города (г. Арсеньев) – 28 км по автомобильной дороге. Основными планировочными осями района являются автомобильная дорога А181 «Осиновка - Рудная Пристань» и железнодорожная ветка «Сибирцево – Новочугуевка». По этим осям размещаются населенные пункты, в которых проживают более 70% населения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. Вспомогательными планировочными осями являются автомобильные дороги «Хороль-Реттиховка-Арсеньев», «Анучино-Еловка-Муравейка», Корниловка-Чернышевка-Новотроицкое», реки Арсеньевка, Муравейка и Тихая. Сообщение между населенными пунктами в границах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осуществляется железнодорожным и автомобильным транспортом.</w:t>
      </w:r>
    </w:p>
    <w:p w14:paraId="3CA9C24E">
      <w:pPr>
        <w:pStyle w:val="38"/>
        <w:autoSpaceDE/>
        <w:autoSpaceDN/>
        <w:adjustRightInd/>
        <w:spacing w:line="276" w:lineRule="auto"/>
        <w:ind w:firstLine="85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Транспортное обслуживание округа осуществляется главным образом по автомобильным дорогам, протяженность железной дороги в границах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составляет 34,3 км. Населенные пункты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поддерживают интенсивные трудовые связи с г. Арсеньев. Внешние связи округа осуществляются главным образом железнодорожным транспортом по Транссибирской магистрали (через ст. Сибирцево), автомобильным – по федеральной дороге М60 (через г. Уссурийск) и воздушным – через аэропорт Кневичи г. Владивостока.</w:t>
      </w:r>
    </w:p>
    <w:p w14:paraId="74645F78">
      <w:pPr>
        <w:spacing w:after="0"/>
        <w:ind w:firstLine="851"/>
        <w:jc w:val="both"/>
        <w:rPr>
          <w:rFonts w:hint="default" w:ascii="Times New Roman" w:hAnsi="Times New Roman" w:cs="Times New Roman"/>
          <w:b/>
          <w:bCs/>
          <w:i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sz w:val="28"/>
          <w:szCs w:val="28"/>
        </w:rPr>
        <w:t xml:space="preserve">Демографическая ситуация </w:t>
      </w:r>
    </w:p>
    <w:p w14:paraId="30367B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58" w:firstLineChars="23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Демографическая ситуация в округе за последние годы ухудшилась. Численность населения, по данным ВПН – 2020, составила 12,734  тыс. чел.</w:t>
      </w:r>
      <w:r>
        <w:rPr>
          <w:rFonts w:hint="default" w:ascii="Times New Roman" w:hAnsi="Times New Roman" w:cs="Times New Roman"/>
          <w:bCs/>
          <w:sz w:val="28"/>
          <w:szCs w:val="28"/>
        </w:rPr>
        <w:t>. Все население района сельское, городских поселений в округе нет.</w:t>
      </w:r>
      <w:r>
        <w:rPr>
          <w:rFonts w:hint="default" w:ascii="Times New Roman" w:hAnsi="Times New Roman" w:cs="Times New Roman"/>
          <w:sz w:val="28"/>
          <w:szCs w:val="28"/>
        </w:rPr>
        <w:t xml:space="preserve"> Плотность населения – 3,2 чел/км</w:t>
      </w:r>
      <w:r>
        <w:rPr>
          <w:rFonts w:hint="default" w:ascii="Times New Roman" w:hAnsi="Times New Roman" w:cs="Times New Roman"/>
          <w:sz w:val="28"/>
          <w:szCs w:val="28"/>
          <w:vertAlign w:val="superscript"/>
        </w:rPr>
        <w:t>2</w:t>
      </w:r>
    </w:p>
    <w:p w14:paraId="4CFEE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i/>
          <w:iCs/>
          <w:sz w:val="28"/>
          <w:szCs w:val="28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По данным статистики, н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а 1 января 2024 года </w:t>
      </w:r>
      <w:r>
        <w:rPr>
          <w:rFonts w:hint="default" w:ascii="Times New Roman" w:hAnsi="Times New Roman" w:cs="Times New Roman"/>
          <w:sz w:val="28"/>
          <w:szCs w:val="28"/>
        </w:rPr>
        <w:t xml:space="preserve">в Анучинском округе постоянно проживало 12 237 человек, что ниже уровня прошлого года на 1,2 %.            </w:t>
      </w:r>
    </w:p>
    <w:p w14:paraId="5A88AD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Средняя продолжительность жизни 66,25:  женщин 73,6 года, мужчин 60,4 года. Средний возраст населения – 40,89 года; мужчин – 38,27; женщин – 43,60 года.</w:t>
      </w:r>
    </w:p>
    <w:p w14:paraId="43BF7B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По основным возрастным группам население Анучинского округа распределено следующим образом: моложе трудоспособного возраста – 2442 (мужчин – 1268, женщин – 1174); трудоспособного возраста – 6704 (мужчин – 3909, женщин – 2795); старше трудоспособного - 3091 (мужчин – 1051, женщин – 2040) человек.</w:t>
      </w:r>
    </w:p>
    <w:p w14:paraId="4255B5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Удельный вес населения в возрасте старше трудоспособного в общей численности населения составляет 25,26 % (мужчин 8,5 %, женщин 16,76)</w:t>
      </w:r>
    </w:p>
    <w:p w14:paraId="0AF3D8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Коэффициент демографической нагрузки – 825,33: на 1000 трудоспособного населения приходится 364,26 детей в возрасте 0-15 лет и 461,07 лиц пенсионного возраста.</w:t>
      </w:r>
    </w:p>
    <w:p w14:paraId="5A4BB2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hint="default" w:ascii="Times New Roman" w:hAnsi="Times New Roman" w:cs="Times New Roman"/>
          <w:sz w:val="28"/>
          <w:szCs w:val="28"/>
        </w:rPr>
        <w:t xml:space="preserve">Сальдо миграции в 2023 году отрицательное - 76 человек (2022 год  – 104 человека). Число прибывших в округ составило   614  человек (2022 год – 600 человек), а число выбывших  690 человек (2022 год – 704). </w:t>
      </w:r>
    </w:p>
    <w:p w14:paraId="5B47D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sans-serif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Структурные изменения населения, обусловленные сокращением числа женщин репродуктивного возраста, а также тенденция откладывания рождения первого ребенка на более поздний период будут сдерживать рост суммарного коэффициента рождаемости, который к 2027 году составит 1,61 ребенка на женщину репродуктивного возраста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6BFEF081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224E020E">
      <w:pPr>
        <w:spacing w:after="0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Итоговая характеристика демографических показателей</w:t>
      </w:r>
    </w:p>
    <w:p w14:paraId="20D53A6A">
      <w:pPr>
        <w:tabs>
          <w:tab w:val="left" w:pos="1980"/>
        </w:tabs>
        <w:spacing w:after="0" w:line="240" w:lineRule="auto"/>
        <w:ind w:firstLine="658" w:firstLineChars="23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медицинскому учреждению</w:t>
      </w:r>
    </w:p>
    <w:tbl>
      <w:tblPr>
        <w:tblStyle w:val="6"/>
        <w:tblW w:w="9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963"/>
        <w:gridCol w:w="1066"/>
        <w:gridCol w:w="1066"/>
        <w:gridCol w:w="1066"/>
        <w:gridCol w:w="1066"/>
        <w:gridCol w:w="1373"/>
      </w:tblGrid>
      <w:tr w14:paraId="5E480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28526">
            <w:pPr>
              <w:pStyle w:val="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 (человек)</w:t>
            </w: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FFF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2021г.</w:t>
            </w:r>
          </w:p>
        </w:tc>
        <w:tc>
          <w:tcPr>
            <w:tcW w:w="21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AE9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2022г.</w:t>
            </w:r>
          </w:p>
        </w:tc>
        <w:tc>
          <w:tcPr>
            <w:tcW w:w="2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ACB3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2023г</w:t>
            </w:r>
          </w:p>
        </w:tc>
      </w:tr>
      <w:tr w14:paraId="4535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51C8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086ED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22F2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043C3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4DF2A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3D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4EF6F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14:paraId="648C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9683E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0-14 лет 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443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2468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90A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19,62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D5A2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2403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014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19,54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393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2316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18D2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18,69</w:t>
            </w:r>
          </w:p>
        </w:tc>
      </w:tr>
      <w:tr w14:paraId="6C6FF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C3FEA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15-17 лет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F94CD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467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B99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3,71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5EB27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246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3,40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E4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377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CD24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3,04</w:t>
            </w:r>
          </w:p>
        </w:tc>
      </w:tr>
      <w:tr w14:paraId="28746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5F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Мужчины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18-59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D24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3509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2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27,89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876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2E1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28,15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60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3647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B99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29,43</w:t>
            </w:r>
          </w:p>
        </w:tc>
      </w:tr>
      <w:tr w14:paraId="20CA8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0AF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Женщины 18-54 лет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060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2379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7CF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18,91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629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E25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18,74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F3B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2510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380A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20,26</w:t>
            </w:r>
          </w:p>
        </w:tc>
      </w:tr>
      <w:tr w14:paraId="22E5D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E1B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Население старше трудоспособного возраста (всего) из них: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69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3757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26D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29,86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649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3709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89D8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30,17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01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3541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D9BF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28,58</w:t>
            </w:r>
          </w:p>
        </w:tc>
      </w:tr>
      <w:tr w14:paraId="1FF6C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C8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Мужчины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старше 60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C84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1249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846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9,93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16C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1245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7AC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10,13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2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1270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BAF9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10,25</w:t>
            </w:r>
          </w:p>
        </w:tc>
      </w:tr>
      <w:tr w14:paraId="1E98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500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Женщины старше 55 лет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816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2508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92F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19,94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1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2464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067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20,04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D2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303C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18,33</w:t>
            </w:r>
          </w:p>
        </w:tc>
      </w:tr>
      <w:tr w14:paraId="5EC4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89C27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54B0B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12580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98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5A77A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12295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2BE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5E65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12391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2F6D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</w:tr>
      <w:tr w14:paraId="7307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8EB27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взрослые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40D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9645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1D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76,67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BF3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9474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E94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77,06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676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9698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4CF44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78,27</w:t>
            </w:r>
          </w:p>
        </w:tc>
      </w:tr>
      <w:tr w14:paraId="4F2EC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204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работающего населения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4A8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E12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32,77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3FE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4036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FFA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32,83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2C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4209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FB97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33,97</w:t>
            </w:r>
          </w:p>
        </w:tc>
      </w:tr>
      <w:tr w14:paraId="5D376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3E696">
            <w:pPr>
              <w:pStyle w:val="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Число неработающего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3D87B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8458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593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67,23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B0C2A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8259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A62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67,17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7011D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8182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2245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66,03</w:t>
            </w:r>
          </w:p>
        </w:tc>
      </w:tr>
    </w:tbl>
    <w:p w14:paraId="275F3F1F">
      <w:pPr>
        <w:tabs>
          <w:tab w:val="left" w:pos="1980"/>
        </w:tabs>
        <w:spacing w:after="0" w:line="240" w:lineRule="auto"/>
        <w:ind w:firstLine="658" w:firstLineChars="235"/>
        <w:jc w:val="center"/>
        <w:rPr>
          <w:rFonts w:ascii="Times New Roman" w:hAnsi="Times New Roman"/>
          <w:sz w:val="28"/>
          <w:szCs w:val="28"/>
        </w:rPr>
      </w:pPr>
    </w:p>
    <w:p w14:paraId="2F6D0AA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Естественное движение населения за последние три года.</w:t>
      </w:r>
    </w:p>
    <w:tbl>
      <w:tblPr>
        <w:tblStyle w:val="6"/>
        <w:tblpPr w:leftFromText="180" w:rightFromText="180" w:vertAnchor="text" w:tblpY="1"/>
        <w:tblW w:w="9923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2"/>
        <w:gridCol w:w="903"/>
        <w:gridCol w:w="850"/>
        <w:gridCol w:w="847"/>
        <w:gridCol w:w="989"/>
        <w:gridCol w:w="847"/>
        <w:gridCol w:w="755"/>
      </w:tblGrid>
      <w:tr w14:paraId="11396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DE023B">
            <w:pPr>
              <w:widowControl w:val="0"/>
              <w:spacing w:after="0" w:line="36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D8855A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BCFD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CBADB1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14:paraId="52828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9728AD">
            <w:pPr>
              <w:widowControl w:val="0"/>
              <w:spacing w:after="0" w:line="36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Показатели демографии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9F71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9EF3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FA25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EE028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4AC1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E7065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</w:tr>
      <w:tr w14:paraId="6E7B1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C364B1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Рождаемость на 1000 нас.                                             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4EB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68E42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1CB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ED5F25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78748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3BA33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9,36</w:t>
            </w:r>
          </w:p>
        </w:tc>
      </w:tr>
      <w:tr w14:paraId="4DE4E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E84AF8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Общая смертность на 1000 нас.                          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CC2D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8A82C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97111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A69DC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0FED4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A8C2D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12,9</w:t>
            </w:r>
          </w:p>
        </w:tc>
      </w:tr>
      <w:tr w14:paraId="2418E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253BAD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Материнская смертность  на  1000 нас.                          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DAF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3E685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FF4D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23E32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E14C2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CB217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2D707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232D9B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Младенческая смертность на 1000 живорожденных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7D1D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88FB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4951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E0937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C49C7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D29D4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17,2</w:t>
            </w:r>
          </w:p>
        </w:tc>
      </w:tr>
      <w:tr w14:paraId="39623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F58E1A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Детская смертность  на  1000дет. нас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C54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DCA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1,362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17809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B21B68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EC81E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C2A1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14:paraId="257EA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B557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Смертность в трудоспособном возрасте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05CB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C4D4D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7,98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390CC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F6D4E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5,37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362B2">
            <w:r>
              <w:t>51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B8DBA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8,28</w:t>
            </w:r>
          </w:p>
        </w:tc>
      </w:tr>
      <w:tr w14:paraId="76692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3BA235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Смертность старше трудоспособного возраста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341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9197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9549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744654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50B6A7">
            <w:r>
              <w:t>109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982FBD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30,78</w:t>
            </w:r>
          </w:p>
        </w:tc>
      </w:tr>
    </w:tbl>
    <w:p w14:paraId="04878720">
      <w:pPr>
        <w:spacing w:after="0"/>
        <w:ind w:left="0" w:leftChars="0" w:firstLine="439" w:firstLineChars="15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Анализ демографических показателей показал превышение показателей общей смертности над рождаемостью, что характеризует естественную убыль населения Анучинского округа. Данная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проблема остается характерной для </w:t>
      </w:r>
      <w:r>
        <w:rPr>
          <w:rFonts w:ascii="Times New Roman" w:hAnsi="Times New Roman" w:cs="Times New Roman"/>
          <w:sz w:val="28"/>
          <w:szCs w:val="28"/>
        </w:rPr>
        <w:t>демографических показателей по многим регионам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по сравнению со смертностью рождается недостаточно много детей.</w:t>
      </w:r>
    </w:p>
    <w:p w14:paraId="3C6D68DB">
      <w:pPr>
        <w:spacing w:after="0"/>
        <w:ind w:left="0" w:leftChars="0" w:firstLine="439" w:firstLineChars="15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отношении показателей анализируемого периода, отмечается снижение общей смертности на 25,2% ( -54 в абсолютных цифрах), но имеет место увеличение смертности в разрезе трудоспособного возраста на 4,27% (4 человека).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этот факт повлияли смерти от травм, в т.ч. на СВО. Смертность у пожилых людей снижена на 34,7 %.</w:t>
      </w:r>
    </w:p>
    <w:p w14:paraId="66C0DC12">
      <w:pPr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Смертность по полу и возрасту</w:t>
      </w:r>
    </w:p>
    <w:tbl>
      <w:tblPr>
        <w:tblStyle w:val="6"/>
        <w:tblpPr w:leftFromText="180" w:rightFromText="180" w:vertAnchor="text" w:horzAnchor="page" w:tblpX="1160" w:tblpY="427"/>
        <w:tblW w:w="9566" w:type="dxa"/>
        <w:tblInd w:w="0" w:type="dxa"/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2295"/>
        <w:gridCol w:w="760"/>
        <w:gridCol w:w="1079"/>
        <w:gridCol w:w="876"/>
        <w:gridCol w:w="1079"/>
        <w:gridCol w:w="897"/>
        <w:gridCol w:w="1079"/>
        <w:gridCol w:w="1501"/>
      </w:tblGrid>
      <w:tr w14:paraId="20EFB716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46E162B">
            <w:pPr>
              <w:snapToGrid w:val="0"/>
              <w:spacing w:after="0" w:line="240" w:lineRule="auto"/>
              <w:ind w:hanging="138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53941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5B116B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CDD5A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022C0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3D0F0BC4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CBE9B3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3E882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Абс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946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E9A41A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Абс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751A3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2328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Абс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7CF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1C2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Прирост, %</w:t>
            </w:r>
          </w:p>
        </w:tc>
      </w:tr>
      <w:tr w14:paraId="07B10C0D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A4515E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Мужчины 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6A095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2B0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16,68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C26DA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2113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16,10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C66D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1FC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13,50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CEA48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-19,05</w:t>
            </w:r>
          </w:p>
        </w:tc>
      </w:tr>
      <w:tr w14:paraId="4CBB1C33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85AF4D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92520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CFB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17,88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D3858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5FF8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13,99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D772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3C1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12,30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AE2EC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-31,19</w:t>
            </w:r>
          </w:p>
        </w:tc>
      </w:tr>
      <w:tr w14:paraId="13F3BC69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302C3E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Мужчины в трудоспособном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6B60A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AB2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8,26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4611D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B06D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6,65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D512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490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9,05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B001AA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9,49</w:t>
            </w:r>
          </w:p>
        </w:tc>
      </w:tr>
      <w:tr w14:paraId="0C676A03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636EC2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Женщины в трудоспособном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7DDEE1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C4FA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7,57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F4517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6416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3,47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23B5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062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7,17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24B9CF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-5,22</w:t>
            </w:r>
          </w:p>
        </w:tc>
      </w:tr>
      <w:tr w14:paraId="06A5C56E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AA900A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20DC0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AF3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6294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4C9EC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59AE3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6148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6B5BF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F2E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6294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A0C8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6303AAE2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5877D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0EE3B7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F68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6097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7AF9E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D7F60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6147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CE274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9C5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6097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060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718E0742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F91F34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М тр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F3FEA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FC2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3509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36222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84ACC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3461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161C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D3CE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3647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7400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2BB8193F">
        <w:tblPrEx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1BE489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Ж тр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F65261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15F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2379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719E9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705D2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2304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1CA3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27B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2510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243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</w:tbl>
    <w:p w14:paraId="2B346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27D2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2E67D8">
      <w:pPr>
        <w:spacing w:after="0" w:line="240" w:lineRule="auto"/>
        <w:ind w:left="0" w:leftChars="0" w:firstLine="439" w:firstLineChars="1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1 месте стоит смертность от болезней органов кровообращения-41,88%</w:t>
      </w:r>
    </w:p>
    <w:p w14:paraId="233B607D">
      <w:pPr>
        <w:spacing w:after="0" w:line="240" w:lineRule="auto"/>
        <w:ind w:left="0" w:leftChars="0" w:firstLine="439" w:firstLineChars="1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  месте- смертность от симптомы и синдромы( старость)- и   смертность от внешних причин – по 12,5 %</w:t>
      </w:r>
    </w:p>
    <w:p w14:paraId="08E9745A">
      <w:pPr>
        <w:spacing w:after="0" w:line="240" w:lineRule="auto"/>
        <w:ind w:left="0" w:leftChars="0" w:firstLine="439" w:firstLineChars="1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3 месте смертность от ЗНО и болезней органов пищеварения – по 6,88 %</w:t>
      </w:r>
    </w:p>
    <w:p w14:paraId="4DBC46D8">
      <w:pPr>
        <w:spacing w:after="0" w:line="240" w:lineRule="auto"/>
        <w:ind w:left="0" w:leftChars="0" w:firstLine="439" w:firstLineChars="1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последние 3 года снизился показатель смертности от заболеваний ССС,  на 6,82%. </w:t>
      </w:r>
    </w:p>
    <w:p w14:paraId="3AA987F9">
      <w:pPr>
        <w:spacing w:after="0" w:line="240" w:lineRule="auto"/>
        <w:ind w:left="0" w:leftChars="0" w:firstLine="439" w:firstLineChars="1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отношению  к 2021 году  смертность от ЗНО снизилась на 53,47%</w:t>
      </w:r>
    </w:p>
    <w:p w14:paraId="75D84734">
      <w:pPr>
        <w:spacing w:after="0"/>
        <w:ind w:left="0" w:leftChars="0" w:firstLine="439" w:firstLineChars="1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динамики показателей смертности и ее структуры выявил уменьшение общей смертности, при этом отмечается незначительное увеличение смертности среди лиц трудоспособного возраста. Сохраняется закономерность превышения показателей смертности у лиц мужского населения над женским (на 13,3%). В структуре смертности на первом месте стоят заболевания сердечно-сосудистой системы, на втором – дегенеративные заболевания нервной системы, на третьем – новообразования и НКИ. Показатели смертности от ИБС и ОНМК за три года практически оставались стабильными, имеются незначительные колебания в большую и меньшую сторону, которые не повлияли на общую картину. </w:t>
      </w:r>
    </w:p>
    <w:p w14:paraId="3432756A">
      <w:pPr>
        <w:spacing w:after="0"/>
        <w:ind w:left="0" w:leftChars="0" w:firstLine="439" w:firstLineChars="157"/>
        <w:jc w:val="both"/>
        <w:rPr>
          <w:rFonts w:ascii="Times New Roman" w:hAnsi="Times New Roman" w:cs="Times New Roman"/>
          <w:sz w:val="28"/>
          <w:szCs w:val="28"/>
        </w:rPr>
      </w:pPr>
    </w:p>
    <w:p w14:paraId="37DE59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</w:t>
      </w:r>
      <w:r>
        <w:rPr>
          <w:rFonts w:ascii="Times New Roman" w:hAnsi="Times New Roman"/>
          <w:b/>
          <w:sz w:val="28"/>
          <w:szCs w:val="28"/>
        </w:rPr>
        <w:t>аболеваемость населения за последние 2021-2023 года</w:t>
      </w:r>
    </w:p>
    <w:p w14:paraId="4EB82AA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kern w:val="2"/>
          <w:lang w:eastAsia="zh-CN" w:bidi="hi-IN"/>
        </w:rPr>
      </w:pPr>
    </w:p>
    <w:tbl>
      <w:tblPr>
        <w:tblStyle w:val="6"/>
        <w:tblW w:w="10305" w:type="dxa"/>
        <w:tblInd w:w="-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6"/>
        <w:gridCol w:w="1067"/>
        <w:gridCol w:w="1163"/>
        <w:gridCol w:w="814"/>
        <w:gridCol w:w="1163"/>
        <w:gridCol w:w="757"/>
        <w:gridCol w:w="1170"/>
        <w:gridCol w:w="885"/>
      </w:tblGrid>
      <w:tr w14:paraId="70E23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B85FBDC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Нозология</w:t>
            </w:r>
          </w:p>
        </w:tc>
        <w:tc>
          <w:tcPr>
            <w:tcW w:w="2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2AE3F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2021</w:t>
            </w:r>
          </w:p>
        </w:tc>
        <w:tc>
          <w:tcPr>
            <w:tcW w:w="1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C4663AA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2022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B4ECEC7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1B522E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Темп прироста (%)</w:t>
            </w:r>
          </w:p>
        </w:tc>
      </w:tr>
      <w:tr w14:paraId="32BDF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BF5B70A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WenQuanYi Zen Hei Sharp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627CB9F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абс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FC8AD0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94F1C4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абс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7583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57656D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абс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91C2A9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3D88F8C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WenQuanYi Zen Hei Sharp" w:cs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14:paraId="210B9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F84D157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Инфекционные и паразитарные болезни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21E08C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115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B1E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914,15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B5DC90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173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BDA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1407,08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CC7447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2B415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1162,13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D0AD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+27,13</w:t>
            </w:r>
          </w:p>
        </w:tc>
      </w:tr>
      <w:tr w14:paraId="10CC4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28612BE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Новообразования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CA44A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787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51D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6255,96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FD52CC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524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027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4261,90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E1B8C8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690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64A40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5568,56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73094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-10,99</w:t>
            </w:r>
          </w:p>
        </w:tc>
      </w:tr>
      <w:tr w14:paraId="55027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85A3AFC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крови, кроветворных органов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454845A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37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F79E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294,12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6F052C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57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A7E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463,60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1D104E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A9C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532,64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FF90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+81,10</w:t>
            </w:r>
          </w:p>
        </w:tc>
      </w:tr>
      <w:tr w14:paraId="536B2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E42106C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эндокринной системы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965BC4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920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90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7313,20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B0F70D9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922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117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7498,98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D0FA28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1447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F82C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11677,83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351A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+59,68</w:t>
            </w:r>
          </w:p>
        </w:tc>
      </w:tr>
      <w:tr w14:paraId="6206C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BC7FAB9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Психические расстройства и расстройства поведения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9F9CA4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658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497E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5230,52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3CB46B7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668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9DC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5433,10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D56500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669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C6EA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5399,08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BCFF7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+3,22</w:t>
            </w:r>
          </w:p>
        </w:tc>
      </w:tr>
      <w:tr w14:paraId="510AD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97C3DB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нервной системы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332315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748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B36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5945,95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55D3885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653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79E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5311,10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A1287A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611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55F5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4931,00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021FB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-17,07</w:t>
            </w:r>
          </w:p>
        </w:tc>
      </w:tr>
      <w:tr w14:paraId="290B6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A15D694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глаза и его придаточного аппарата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90C9941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A5C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755,17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805BCC5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423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C15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3440,42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83445A3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498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5A0D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4019,05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2A713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+432,21</w:t>
            </w:r>
          </w:p>
        </w:tc>
      </w:tr>
      <w:tr w14:paraId="5AEEA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0A94297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уха и сосцевидного отростка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92112A8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414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ABD9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3290,94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14B582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434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3A0A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3529,89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260351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264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91C2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2130,58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3969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-35,26</w:t>
            </w:r>
          </w:p>
        </w:tc>
      </w:tr>
      <w:tr w14:paraId="0AD71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4811A00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системы кровообращения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84C631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4749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955F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37750,40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B1208BA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5222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8837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42472,55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7A3B033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4775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9679E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38536,03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88CE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+2,08</w:t>
            </w:r>
          </w:p>
        </w:tc>
      </w:tr>
      <w:tr w14:paraId="20B6A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6C4A207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органов дыхания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5560A6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2543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B3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20214,63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85099D7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3333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C04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27108,58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4A0555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1829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7B62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14760,71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6A6BB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-26,98</w:t>
            </w:r>
          </w:p>
        </w:tc>
      </w:tr>
      <w:tr w14:paraId="05772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371158D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органов пищеварения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059EE1D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3221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0D2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25604,13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C18335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3998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EBF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32517,28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9DA4A3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3337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07EF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26930,84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70322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+5,18</w:t>
            </w:r>
          </w:p>
        </w:tc>
      </w:tr>
      <w:tr w14:paraId="51A53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CDA9A68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кожи и подкожной клетчатки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A0E3D2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321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B0EC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2551,67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E07003D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336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F9C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2732,82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94618A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96B7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1961,10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CD1B0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-23,14</w:t>
            </w:r>
          </w:p>
        </w:tc>
      </w:tr>
      <w:tr w14:paraId="0200B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CDF6A9D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костно-мышечной системы и соединительной ткани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6FF061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2283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0A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18147,85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0F345E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2414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B71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19634,00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45984D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2253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C035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18182,55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96AB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+0,19</w:t>
            </w:r>
          </w:p>
        </w:tc>
      </w:tr>
      <w:tr w14:paraId="02AF7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3DD0A4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Болезни мочеполовой системы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1C79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1512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46D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12019,08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5B8576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1874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F41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15241,97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495D36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1556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E8E0F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12557,50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454CF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+4,48</w:t>
            </w:r>
          </w:p>
        </w:tc>
      </w:tr>
      <w:tr w14:paraId="282F3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AE2ECD8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Травмы, отравления и некоторые другие последствия внешних причин</w:t>
            </w:r>
          </w:p>
          <w:p w14:paraId="205744C4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1780F3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38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5572,34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748DDE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689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37F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5603,90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3AD7E8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698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13C29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5633,12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2BFC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+1,09</w:t>
            </w:r>
          </w:p>
        </w:tc>
      </w:tr>
      <w:tr w14:paraId="622EB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EFA2926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val="en-US" w:eastAsia="zh-CN" w:bidi="hi-IN"/>
              </w:rPr>
              <w:t>COVID</w:t>
            </w:r>
            <w:r>
              <w:rPr>
                <w:rFonts w:ascii="Times New Roman" w:hAnsi="Times New Roman" w:eastAsia="Calibri" w:cs="Times New Roman"/>
                <w:bCs/>
                <w:kern w:val="2"/>
                <w:sz w:val="24"/>
                <w:szCs w:val="24"/>
                <w:lang w:eastAsia="zh-CN" w:bidi="hi-IN"/>
              </w:rPr>
              <w:t>-19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ED58869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838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B9D6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6661,37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892B18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463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9BA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3765,76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6378C3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BC0E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371,24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22A9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-94,43</w:t>
            </w:r>
          </w:p>
        </w:tc>
      </w:tr>
      <w:tr w14:paraId="48684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E6D0D13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Всего: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9C62BB9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20399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4FB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162154,21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DE7185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22658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33F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184286,30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AE1DCC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19488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F95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157275,44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3B8A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-3,01</w:t>
            </w:r>
          </w:p>
        </w:tc>
      </w:tr>
    </w:tbl>
    <w:p w14:paraId="0FB7113A">
      <w:pPr>
        <w:suppressAutoHyphens/>
        <w:spacing w:after="0"/>
        <w:ind w:left="0" w:leftChars="0" w:firstLine="218" w:firstLineChars="78"/>
        <w:jc w:val="both"/>
        <w:textAlignment w:val="baseline"/>
      </w:pPr>
      <w:r>
        <w:rPr>
          <w:rFonts w:ascii="Times New Roman" w:hAnsi="Times New Roman" w:eastAsia="WenQuanYi Zen Hei Sharp" w:cs="Times New Roman"/>
          <w:kern w:val="2"/>
          <w:sz w:val="28"/>
          <w:szCs w:val="28"/>
          <w:lang w:eastAsia="zh-CN" w:bidi="hi-IN"/>
        </w:rPr>
        <w:t>За 3 года  отмечается снижение  показателей общей заболеваемости  на 3,01 % за счет НКИ, болезней органов дыхания,  , что свидетельствует о повышении качества проведения профилактических мероприятий, в т.ч.</w:t>
      </w:r>
      <w:r>
        <w:rPr>
          <w:rFonts w:hint="default" w:ascii="Times New Roman" w:hAnsi="Times New Roman" w:eastAsia="WenQuanYi Zen Hei Sharp" w:cs="Times New Roman"/>
          <w:kern w:val="2"/>
          <w:sz w:val="28"/>
          <w:szCs w:val="28"/>
          <w:lang w:val="ru-RU" w:eastAsia="zh-CN" w:bidi="hi-IN"/>
        </w:rPr>
        <w:t xml:space="preserve"> </w:t>
      </w:r>
      <w:r>
        <w:rPr>
          <w:rFonts w:ascii="Times New Roman" w:hAnsi="Times New Roman" w:eastAsia="WenQuanYi Zen Hei Sharp" w:cs="Times New Roman"/>
          <w:kern w:val="2"/>
          <w:sz w:val="28"/>
          <w:szCs w:val="28"/>
          <w:lang w:eastAsia="zh-CN" w:bidi="hi-IN"/>
        </w:rPr>
        <w:t>вакцинации. Среди заболеваний сердечно-сосудистой  системы отмечается незначительный рост, по отношению к 2021 году – на  2,08%</w:t>
      </w:r>
    </w:p>
    <w:p w14:paraId="6FF974F1">
      <w:pPr>
        <w:suppressAutoHyphens/>
        <w:spacing w:after="0"/>
        <w:jc w:val="both"/>
        <w:textAlignment w:val="baseline"/>
        <w:rPr>
          <w:rFonts w:ascii="Times New Roman" w:hAnsi="Times New Roman" w:eastAsia="WenQuanYi Zen Hei Sharp" w:cs="Times New Roman"/>
          <w:kern w:val="2"/>
          <w:sz w:val="28"/>
          <w:szCs w:val="28"/>
          <w:lang w:eastAsia="zh-CN" w:bidi="hi-IN"/>
        </w:rPr>
      </w:pPr>
    </w:p>
    <w:p w14:paraId="4EE15A7A">
      <w:pPr>
        <w:suppressAutoHyphens/>
        <w:spacing w:after="0"/>
        <w:jc w:val="center"/>
        <w:textAlignment w:val="baseline"/>
        <w:rPr>
          <w:rFonts w:ascii="Times New Roman" w:hAnsi="Times New Roman" w:eastAsia="Calibri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Calibri" w:cs="Times New Roman"/>
          <w:b/>
          <w:kern w:val="2"/>
          <w:sz w:val="28"/>
          <w:szCs w:val="28"/>
          <w:lang w:eastAsia="zh-CN" w:bidi="hi-IN"/>
        </w:rPr>
        <w:t>Показатели первичной заболеваемости населения в муниципальном образовании за 3 года на 100 тыс населения</w:t>
      </w:r>
    </w:p>
    <w:p w14:paraId="74C0AD33">
      <w:pPr>
        <w:suppressAutoHyphens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kern w:val="2"/>
          <w:sz w:val="24"/>
          <w:szCs w:val="24"/>
          <w:lang w:eastAsia="zh-CN" w:bidi="hi-IN"/>
        </w:rPr>
      </w:pPr>
    </w:p>
    <w:tbl>
      <w:tblPr>
        <w:tblStyle w:val="6"/>
        <w:tblW w:w="10025" w:type="dxa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041"/>
        <w:gridCol w:w="1051"/>
        <w:gridCol w:w="1020"/>
        <w:gridCol w:w="1107"/>
        <w:gridCol w:w="998"/>
        <w:gridCol w:w="968"/>
        <w:gridCol w:w="840"/>
      </w:tblGrid>
      <w:tr w14:paraId="1A398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FEB84F8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Нозология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99DF9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2021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94EA4AC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2022</w:t>
            </w:r>
          </w:p>
        </w:tc>
        <w:tc>
          <w:tcPr>
            <w:tcW w:w="19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CEAB01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E7DD0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Темп прироста (%)</w:t>
            </w:r>
          </w:p>
        </w:tc>
      </w:tr>
      <w:tr w14:paraId="30A06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CAF6DB6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WenQuanYi Zen Hei Sharp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CA692F2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lang w:eastAsia="zh-CN" w:bidi="hi-IN"/>
              </w:rPr>
              <w:t>абс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82B919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6161A2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lang w:eastAsia="zh-CN" w:bidi="hi-IN"/>
              </w:rPr>
              <w:t>абс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99F9C4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8DBEAA1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lang w:eastAsia="zh-CN" w:bidi="hi-IN"/>
              </w:rPr>
              <w:t>абс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F9B4C12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09DA6D1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WenQuanYi Zen Hei Sharp" w:cs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14:paraId="3D5F3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1AA0AD0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Инфекционные и паразитарные болезни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8B6D0C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616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755,17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1CEBCE3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129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049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1049,21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48453EA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58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3723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468,08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67FBB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-38,02</w:t>
            </w:r>
          </w:p>
        </w:tc>
      </w:tr>
      <w:tr w14:paraId="451B9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F238188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Новообразования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65CA0F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232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06FE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1844,20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15C353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85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37B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691,34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19D57B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16C6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1961,10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992BD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6,34</w:t>
            </w:r>
          </w:p>
        </w:tc>
      </w:tr>
      <w:tr w14:paraId="7DCE5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B8A3930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крови, кроветворных органов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857AA01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A89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87,44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7E289B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6ED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130,13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4240FF3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F787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121,06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00848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38,44</w:t>
            </w:r>
          </w:p>
        </w:tc>
      </w:tr>
      <w:tr w14:paraId="1CB67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EB087AF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эндокринной системы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592F8BD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2FE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794,91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5967B0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174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120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1415,21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7BDFB91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115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23D3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928,09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8371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16,75</w:t>
            </w:r>
          </w:p>
        </w:tc>
      </w:tr>
      <w:tr w14:paraId="5D51A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0B9D15C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Психические расстройства и расстройства поведения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7D16BD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AFC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230,52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D819E2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999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268,40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FA00C0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71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6CB4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573,00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E440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148,56</w:t>
            </w:r>
          </w:p>
        </w:tc>
      </w:tr>
      <w:tr w14:paraId="07816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0A71A9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нервной системы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AB85399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154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2900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1224,17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ACCAEF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DD0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772,67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137F2C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187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53BE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1509,16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46882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23,28</w:t>
            </w:r>
          </w:p>
        </w:tc>
      </w:tr>
      <w:tr w14:paraId="2C710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F4F0F20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глаза и его придаточного аппарата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6FCCDC3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054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158,98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EFB464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F1C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1659,21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EA7185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293B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621,42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1DBF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290,87</w:t>
            </w:r>
          </w:p>
        </w:tc>
      </w:tr>
      <w:tr w14:paraId="537CC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8A6E2B1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уха и сосцевидного отростка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EFC0E45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357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2A1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2837,84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8FB83B7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371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B2B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3017,49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64D0D7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194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6E49A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1565,65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4573F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-44,83</w:t>
            </w:r>
          </w:p>
        </w:tc>
      </w:tr>
      <w:tr w14:paraId="77CDF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C7327CA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системы кровообращения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E5E6357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359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12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2853,74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4239E78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501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66F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4074,83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E88AD52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477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6C8B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3849,57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5A821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34,90</w:t>
            </w:r>
          </w:p>
        </w:tc>
      </w:tr>
      <w:tr w14:paraId="4EEA1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DD895C9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органов дыхания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C034B05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2089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7CE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16605,72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28D9469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1522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92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12379,02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D1025D9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1467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B65D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11839,24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E241D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-28,70</w:t>
            </w:r>
          </w:p>
        </w:tc>
      </w:tr>
      <w:tr w14:paraId="63091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E42E412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органов пищеварения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0078FB8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686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4F8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5453,10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FAC5F09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1173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F40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9540,46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24EFD89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641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8D1D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5173,11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A4D8A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-5,13</w:t>
            </w:r>
          </w:p>
        </w:tc>
      </w:tr>
      <w:tr w14:paraId="04583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51B57B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кожи и подкожной клетчатки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F1FA0E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279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CB4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2217,81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B07902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270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DF6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2196,01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615A42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3AB6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1743,20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627CA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-21,40</w:t>
            </w:r>
          </w:p>
        </w:tc>
      </w:tr>
      <w:tr w14:paraId="2B0CB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17CFB00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костно-мышечной системы и соединительной ткани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50948ED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236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F35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1875,99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2A6DF4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181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6C3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1472,14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5D5D1D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104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14D52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839,32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A405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-55,26</w:t>
            </w:r>
          </w:p>
        </w:tc>
      </w:tr>
      <w:tr w14:paraId="60F3C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4D5A37F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мочеполовой системы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A7DB244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683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BD2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5429,25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2CCDD5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821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A94E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6677,51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6386068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728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8A0C8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5875,23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B6631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8,21</w:t>
            </w:r>
          </w:p>
        </w:tc>
      </w:tr>
      <w:tr w14:paraId="33624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A7D6629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Травмы, отравления и некоторые другие последствия внешних причин</w:t>
            </w:r>
          </w:p>
          <w:p w14:paraId="3DC8075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E69424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8E4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5572,34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2F674C5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689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FF0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5603,90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2F9785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698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F974B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5633,12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FAB7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1,09</w:t>
            </w:r>
          </w:p>
        </w:tc>
      </w:tr>
      <w:tr w14:paraId="3D620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6FB30FE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</w:t>
            </w:r>
            <w:r>
              <w:rPr>
                <w:rFonts w:ascii="Times New Roman" w:hAnsi="Times New Roman" w:eastAsia="Calibri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OVID-19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D7689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838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B3A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6661,37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EB45C0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463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00B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3765,76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21B8AF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DCC22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371,24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5BE9B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-94,43</w:t>
            </w:r>
          </w:p>
        </w:tc>
      </w:tr>
      <w:tr w14:paraId="3E2CF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4D9C8C6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Всего: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9CC0DBF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7260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58D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57710,65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393252B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7391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43D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60113,87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E30D190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eastAsia="zh-CN" w:bidi="hi-IN"/>
              </w:rPr>
              <w:t>5596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97EAF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45161,81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A41D2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-21,74</w:t>
            </w:r>
          </w:p>
        </w:tc>
      </w:tr>
    </w:tbl>
    <w:p w14:paraId="2000C411"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5CCBC9D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 году   отмечается снижение  уровня первичной заболеваемости на 21,74%. В основном от инфекционных заболеваний  ( на 38,02%),  от НКИ (на 94,43 %), от болезней органов дыхания снижение на 28,7%.</w:t>
      </w:r>
    </w:p>
    <w:p w14:paraId="158D0903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 xml:space="preserve">Среди  болезней системы кровообращения, за счет повышения качества ранней выявляемости скрытой патологии сердечно-сосудистой системы в соответствии с клиническими рекомендациями по оказанию помощи пациентам с ХСН (проведение теста велоэргометрии с последующей маршрутизациеи пациентов на консультацию к кардиологу) присутствует рост на 34,9%.  Первичная заболеваемость от ЗНО увеличилась на 6,34 % по отношению к 2021 году. </w:t>
      </w:r>
    </w:p>
    <w:p w14:paraId="53187168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p w14:paraId="68529156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Выполнение плана профилактических мероприятий (в %)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9"/>
        <w:gridCol w:w="2275"/>
        <w:gridCol w:w="2275"/>
        <w:gridCol w:w="2402"/>
      </w:tblGrid>
      <w:tr w14:paraId="6708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</w:tcPr>
          <w:p w14:paraId="02DA31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</w:tcPr>
          <w:p w14:paraId="2B123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2275" w:type="dxa"/>
          </w:tcPr>
          <w:p w14:paraId="06ACB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2402" w:type="dxa"/>
          </w:tcPr>
          <w:p w14:paraId="5D8812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14:paraId="15A62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</w:tcPr>
          <w:p w14:paraId="7A1DD8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</w:tcPr>
          <w:p w14:paraId="33CE3D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  <w:tc>
          <w:tcPr>
            <w:tcW w:w="2275" w:type="dxa"/>
          </w:tcPr>
          <w:p w14:paraId="34B7E8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  <w:tc>
          <w:tcPr>
            <w:tcW w:w="2402" w:type="dxa"/>
          </w:tcPr>
          <w:p w14:paraId="0FDFD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</w:tr>
      <w:tr w14:paraId="59A4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63399EF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Взрослое население</w:t>
            </w:r>
          </w:p>
        </w:tc>
      </w:tr>
      <w:tr w14:paraId="75D0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</w:tcPr>
          <w:p w14:paraId="252C9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Профилактический осмотр</w:t>
            </w:r>
          </w:p>
        </w:tc>
        <w:tc>
          <w:tcPr>
            <w:tcW w:w="2275" w:type="dxa"/>
          </w:tcPr>
          <w:p w14:paraId="1553B9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771/329/42,97%</w:t>
            </w:r>
          </w:p>
        </w:tc>
        <w:tc>
          <w:tcPr>
            <w:tcW w:w="2275" w:type="dxa"/>
          </w:tcPr>
          <w:p w14:paraId="632739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712/400/56,17%</w:t>
            </w:r>
          </w:p>
        </w:tc>
        <w:tc>
          <w:tcPr>
            <w:tcW w:w="2402" w:type="dxa"/>
          </w:tcPr>
          <w:p w14:paraId="14F0EF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716/401/56,01%</w:t>
            </w:r>
          </w:p>
        </w:tc>
      </w:tr>
      <w:tr w14:paraId="4B171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</w:tcPr>
          <w:p w14:paraId="2DD105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Диспансеризация</w:t>
            </w:r>
          </w:p>
        </w:tc>
        <w:tc>
          <w:tcPr>
            <w:tcW w:w="2275" w:type="dxa"/>
          </w:tcPr>
          <w:p w14:paraId="0A61A4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2165/2023/93,4%</w:t>
            </w:r>
          </w:p>
        </w:tc>
        <w:tc>
          <w:tcPr>
            <w:tcW w:w="2275" w:type="dxa"/>
          </w:tcPr>
          <w:p w14:paraId="651849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2571/2573/100,08%</w:t>
            </w:r>
          </w:p>
        </w:tc>
        <w:tc>
          <w:tcPr>
            <w:tcW w:w="2402" w:type="dxa"/>
          </w:tcPr>
          <w:p w14:paraId="28AA17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3730/3764/100,91%</w:t>
            </w:r>
          </w:p>
        </w:tc>
      </w:tr>
      <w:tr w14:paraId="4DCAB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</w:tcPr>
          <w:p w14:paraId="2400C0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Углубленная диспансеризация</w:t>
            </w:r>
          </w:p>
        </w:tc>
        <w:tc>
          <w:tcPr>
            <w:tcW w:w="2275" w:type="dxa"/>
          </w:tcPr>
          <w:p w14:paraId="6410AA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409/184/44,9%</w:t>
            </w:r>
          </w:p>
        </w:tc>
        <w:tc>
          <w:tcPr>
            <w:tcW w:w="2275" w:type="dxa"/>
          </w:tcPr>
          <w:p w14:paraId="79D5A8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415/325/78,31%</w:t>
            </w:r>
          </w:p>
        </w:tc>
        <w:tc>
          <w:tcPr>
            <w:tcW w:w="2402" w:type="dxa"/>
          </w:tcPr>
          <w:p w14:paraId="3C7F30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269/305/113,38%</w:t>
            </w:r>
          </w:p>
        </w:tc>
      </w:tr>
      <w:tr w14:paraId="25FD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4"/>
          </w:tcPr>
          <w:p w14:paraId="3C69B3C8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Детское население</w:t>
            </w:r>
          </w:p>
        </w:tc>
      </w:tr>
      <w:tr w14:paraId="4B8F3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</w:tcPr>
          <w:p w14:paraId="07A279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Профилактический осмотр</w:t>
            </w:r>
          </w:p>
        </w:tc>
        <w:tc>
          <w:tcPr>
            <w:tcW w:w="2275" w:type="dxa"/>
          </w:tcPr>
          <w:p w14:paraId="4C9E13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2309/798/34,6%</w:t>
            </w:r>
          </w:p>
        </w:tc>
        <w:tc>
          <w:tcPr>
            <w:tcW w:w="2275" w:type="dxa"/>
          </w:tcPr>
          <w:p w14:paraId="28B450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2441/789/32,32%</w:t>
            </w:r>
          </w:p>
        </w:tc>
        <w:tc>
          <w:tcPr>
            <w:tcW w:w="2402" w:type="dxa"/>
          </w:tcPr>
          <w:p w14:paraId="61EDF0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1968/1893/96,19%</w:t>
            </w:r>
          </w:p>
        </w:tc>
      </w:tr>
      <w:tr w14:paraId="3A86C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9" w:type="dxa"/>
          </w:tcPr>
          <w:p w14:paraId="764A7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Диспансеризация детей-сирот</w:t>
            </w:r>
          </w:p>
        </w:tc>
        <w:tc>
          <w:tcPr>
            <w:tcW w:w="2275" w:type="dxa"/>
          </w:tcPr>
          <w:p w14:paraId="4FCCC2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150/151/100,6%</w:t>
            </w:r>
          </w:p>
        </w:tc>
        <w:tc>
          <w:tcPr>
            <w:tcW w:w="2275" w:type="dxa"/>
          </w:tcPr>
          <w:p w14:paraId="4B1F05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140/144/102,85%</w:t>
            </w:r>
          </w:p>
        </w:tc>
        <w:tc>
          <w:tcPr>
            <w:tcW w:w="2402" w:type="dxa"/>
          </w:tcPr>
          <w:p w14:paraId="5EA15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130/141/108,46%</w:t>
            </w:r>
          </w:p>
        </w:tc>
      </w:tr>
    </w:tbl>
    <w:p w14:paraId="14E67687"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0DFE27EA">
      <w:pPr>
        <w:suppressAutoHyphens/>
        <w:spacing w:before="120" w:after="12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/>
        </w:rPr>
        <w:t>Диспансерное наблюдение, взрослое население</w:t>
      </w:r>
    </w:p>
    <w:tbl>
      <w:tblPr>
        <w:tblStyle w:val="16"/>
        <w:tblpPr w:leftFromText="180" w:rightFromText="180" w:vertAnchor="text" w:horzAnchor="page" w:tblpX="1360" w:tblpY="435"/>
        <w:tblOverlap w:val="never"/>
        <w:tblW w:w="9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800"/>
        <w:gridCol w:w="803"/>
        <w:gridCol w:w="1037"/>
        <w:gridCol w:w="806"/>
        <w:gridCol w:w="850"/>
        <w:gridCol w:w="993"/>
        <w:gridCol w:w="850"/>
        <w:gridCol w:w="851"/>
        <w:gridCol w:w="780"/>
      </w:tblGrid>
      <w:tr w14:paraId="415DF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2070" w:type="dxa"/>
            <w:vMerge w:val="restart"/>
          </w:tcPr>
          <w:p w14:paraId="4A1A9133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640" w:type="dxa"/>
            <w:gridSpan w:val="3"/>
          </w:tcPr>
          <w:p w14:paraId="712CCEC7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lang w:eastAsia="zh-CN"/>
              </w:rPr>
              <w:t>2021 год</w:t>
            </w:r>
          </w:p>
        </w:tc>
        <w:tc>
          <w:tcPr>
            <w:tcW w:w="2649" w:type="dxa"/>
            <w:gridSpan w:val="3"/>
          </w:tcPr>
          <w:p w14:paraId="4BAA81F8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lang w:eastAsia="zh-CN"/>
              </w:rPr>
              <w:t>2022 год</w:t>
            </w:r>
          </w:p>
        </w:tc>
        <w:tc>
          <w:tcPr>
            <w:tcW w:w="2481" w:type="dxa"/>
            <w:gridSpan w:val="3"/>
          </w:tcPr>
          <w:p w14:paraId="23A97028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lang w:eastAsia="zh-CN"/>
              </w:rPr>
              <w:t>2023 год</w:t>
            </w:r>
          </w:p>
        </w:tc>
      </w:tr>
      <w:tr w14:paraId="0CDFE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0" w:type="dxa"/>
            <w:vMerge w:val="continue"/>
          </w:tcPr>
          <w:p w14:paraId="17F29E8A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800" w:type="dxa"/>
          </w:tcPr>
          <w:p w14:paraId="456C87AE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состояло</w:t>
            </w:r>
          </w:p>
        </w:tc>
        <w:tc>
          <w:tcPr>
            <w:tcW w:w="803" w:type="dxa"/>
          </w:tcPr>
          <w:p w14:paraId="426A1E9D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охвачено</w:t>
            </w:r>
          </w:p>
        </w:tc>
        <w:tc>
          <w:tcPr>
            <w:tcW w:w="1037" w:type="dxa"/>
          </w:tcPr>
          <w:p w14:paraId="5A041B80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% охвата</w:t>
            </w:r>
          </w:p>
        </w:tc>
        <w:tc>
          <w:tcPr>
            <w:tcW w:w="806" w:type="dxa"/>
          </w:tcPr>
          <w:p w14:paraId="55C6D617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состояло</w:t>
            </w:r>
          </w:p>
        </w:tc>
        <w:tc>
          <w:tcPr>
            <w:tcW w:w="850" w:type="dxa"/>
          </w:tcPr>
          <w:p w14:paraId="601E667A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охвачено</w:t>
            </w:r>
          </w:p>
        </w:tc>
        <w:tc>
          <w:tcPr>
            <w:tcW w:w="993" w:type="dxa"/>
          </w:tcPr>
          <w:p w14:paraId="444695FF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% охвата</w:t>
            </w:r>
          </w:p>
        </w:tc>
        <w:tc>
          <w:tcPr>
            <w:tcW w:w="850" w:type="dxa"/>
          </w:tcPr>
          <w:p w14:paraId="621AC6D9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состояло</w:t>
            </w:r>
          </w:p>
        </w:tc>
        <w:tc>
          <w:tcPr>
            <w:tcW w:w="851" w:type="dxa"/>
          </w:tcPr>
          <w:p w14:paraId="6BDCB83B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охвачено</w:t>
            </w:r>
          </w:p>
        </w:tc>
        <w:tc>
          <w:tcPr>
            <w:tcW w:w="780" w:type="dxa"/>
          </w:tcPr>
          <w:p w14:paraId="358C46FF">
            <w:pPr>
              <w:suppressAutoHyphens/>
              <w:spacing w:after="0" w:line="240" w:lineRule="atLeast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% охвата</w:t>
            </w:r>
          </w:p>
        </w:tc>
      </w:tr>
      <w:tr w14:paraId="5587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0" w:type="dxa"/>
          </w:tcPr>
          <w:p w14:paraId="2B67A66B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i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i/>
                <w:lang w:eastAsia="zh-CN"/>
              </w:rPr>
              <w:t>Всего лиц</w:t>
            </w:r>
          </w:p>
        </w:tc>
        <w:tc>
          <w:tcPr>
            <w:tcW w:w="800" w:type="dxa"/>
          </w:tcPr>
          <w:p w14:paraId="73436EAE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287</w:t>
            </w:r>
            <w:r>
              <w:rPr>
                <w:rFonts w:ascii="Times New Roman" w:hAnsi="Times New Roman" w:eastAsia="Times New Roman" w:cs="Times New Roman"/>
                <w:lang w:val="en-US" w:eastAsia="zh-CN"/>
              </w:rPr>
              <w:t>1</w:t>
            </w:r>
          </w:p>
        </w:tc>
        <w:tc>
          <w:tcPr>
            <w:tcW w:w="803" w:type="dxa"/>
          </w:tcPr>
          <w:p w14:paraId="2A32B128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2718</w:t>
            </w:r>
          </w:p>
        </w:tc>
        <w:tc>
          <w:tcPr>
            <w:tcW w:w="1037" w:type="dxa"/>
            <w:vAlign w:val="center"/>
          </w:tcPr>
          <w:p w14:paraId="2636B670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94,67</w:t>
            </w:r>
          </w:p>
        </w:tc>
        <w:tc>
          <w:tcPr>
            <w:tcW w:w="806" w:type="dxa"/>
          </w:tcPr>
          <w:p w14:paraId="1DEAF5BB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3581</w:t>
            </w:r>
          </w:p>
        </w:tc>
        <w:tc>
          <w:tcPr>
            <w:tcW w:w="850" w:type="dxa"/>
          </w:tcPr>
          <w:p w14:paraId="5123532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3177</w:t>
            </w:r>
          </w:p>
        </w:tc>
        <w:tc>
          <w:tcPr>
            <w:tcW w:w="993" w:type="dxa"/>
            <w:vAlign w:val="center"/>
          </w:tcPr>
          <w:p w14:paraId="4E62D334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88,72</w:t>
            </w:r>
          </w:p>
        </w:tc>
        <w:tc>
          <w:tcPr>
            <w:tcW w:w="850" w:type="dxa"/>
            <w:vAlign w:val="center"/>
          </w:tcPr>
          <w:p w14:paraId="2809F8AA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2969</w:t>
            </w:r>
          </w:p>
        </w:tc>
        <w:tc>
          <w:tcPr>
            <w:tcW w:w="851" w:type="dxa"/>
            <w:vAlign w:val="center"/>
          </w:tcPr>
          <w:p w14:paraId="31EAF441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2573</w:t>
            </w:r>
          </w:p>
        </w:tc>
        <w:tc>
          <w:tcPr>
            <w:tcW w:w="780" w:type="dxa"/>
            <w:vAlign w:val="center"/>
          </w:tcPr>
          <w:p w14:paraId="7E06B5A9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86,67</w:t>
            </w:r>
          </w:p>
        </w:tc>
      </w:tr>
      <w:tr w14:paraId="0BEA9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0" w:type="dxa"/>
          </w:tcPr>
          <w:p w14:paraId="621D82A2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 заболеваниями сердечно-сосудистой сист.</w:t>
            </w:r>
          </w:p>
        </w:tc>
        <w:tc>
          <w:tcPr>
            <w:tcW w:w="800" w:type="dxa"/>
          </w:tcPr>
          <w:p w14:paraId="06449130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1428</w:t>
            </w:r>
          </w:p>
        </w:tc>
        <w:tc>
          <w:tcPr>
            <w:tcW w:w="803" w:type="dxa"/>
          </w:tcPr>
          <w:p w14:paraId="10A4B469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1198</w:t>
            </w:r>
          </w:p>
        </w:tc>
        <w:tc>
          <w:tcPr>
            <w:tcW w:w="1037" w:type="dxa"/>
            <w:vAlign w:val="center"/>
          </w:tcPr>
          <w:p w14:paraId="5EDCBB40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83,89</w:t>
            </w:r>
          </w:p>
        </w:tc>
        <w:tc>
          <w:tcPr>
            <w:tcW w:w="806" w:type="dxa"/>
          </w:tcPr>
          <w:p w14:paraId="2090450E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1984</w:t>
            </w:r>
          </w:p>
        </w:tc>
        <w:tc>
          <w:tcPr>
            <w:tcW w:w="850" w:type="dxa"/>
          </w:tcPr>
          <w:p w14:paraId="74D84D05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1633</w:t>
            </w:r>
          </w:p>
        </w:tc>
        <w:tc>
          <w:tcPr>
            <w:tcW w:w="993" w:type="dxa"/>
            <w:vAlign w:val="center"/>
          </w:tcPr>
          <w:p w14:paraId="7824D74E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82,31</w:t>
            </w:r>
          </w:p>
        </w:tc>
        <w:tc>
          <w:tcPr>
            <w:tcW w:w="850" w:type="dxa"/>
            <w:vAlign w:val="center"/>
          </w:tcPr>
          <w:p w14:paraId="116E7D0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2089</w:t>
            </w:r>
          </w:p>
        </w:tc>
        <w:tc>
          <w:tcPr>
            <w:tcW w:w="851" w:type="dxa"/>
            <w:vAlign w:val="center"/>
          </w:tcPr>
          <w:p w14:paraId="3E6D7149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2110</w:t>
            </w:r>
          </w:p>
        </w:tc>
        <w:tc>
          <w:tcPr>
            <w:tcW w:w="780" w:type="dxa"/>
            <w:vAlign w:val="center"/>
          </w:tcPr>
          <w:p w14:paraId="55E0D401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101,01</w:t>
            </w:r>
          </w:p>
        </w:tc>
      </w:tr>
      <w:tr w14:paraId="23AF1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0" w:type="dxa"/>
          </w:tcPr>
          <w:p w14:paraId="38C6B42A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 онкологическими заболеваниями</w:t>
            </w:r>
          </w:p>
        </w:tc>
        <w:tc>
          <w:tcPr>
            <w:tcW w:w="800" w:type="dxa"/>
          </w:tcPr>
          <w:p w14:paraId="03696169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635</w:t>
            </w:r>
          </w:p>
        </w:tc>
        <w:tc>
          <w:tcPr>
            <w:tcW w:w="803" w:type="dxa"/>
          </w:tcPr>
          <w:p w14:paraId="53691BEF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605</w:t>
            </w:r>
          </w:p>
        </w:tc>
        <w:tc>
          <w:tcPr>
            <w:tcW w:w="1037" w:type="dxa"/>
            <w:vAlign w:val="center"/>
          </w:tcPr>
          <w:p w14:paraId="18819500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95,28</w:t>
            </w:r>
          </w:p>
        </w:tc>
        <w:tc>
          <w:tcPr>
            <w:tcW w:w="806" w:type="dxa"/>
          </w:tcPr>
          <w:p w14:paraId="7E2DDC0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581</w:t>
            </w:r>
          </w:p>
        </w:tc>
        <w:tc>
          <w:tcPr>
            <w:tcW w:w="850" w:type="dxa"/>
          </w:tcPr>
          <w:p w14:paraId="358E7F7C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415</w:t>
            </w:r>
          </w:p>
        </w:tc>
        <w:tc>
          <w:tcPr>
            <w:tcW w:w="993" w:type="dxa"/>
            <w:vAlign w:val="center"/>
          </w:tcPr>
          <w:p w14:paraId="220A9951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71,43</w:t>
            </w:r>
          </w:p>
        </w:tc>
        <w:tc>
          <w:tcPr>
            <w:tcW w:w="850" w:type="dxa"/>
            <w:vAlign w:val="center"/>
          </w:tcPr>
          <w:p w14:paraId="2FA802DB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457</w:t>
            </w:r>
          </w:p>
        </w:tc>
        <w:tc>
          <w:tcPr>
            <w:tcW w:w="851" w:type="dxa"/>
            <w:vAlign w:val="center"/>
          </w:tcPr>
          <w:p w14:paraId="5D39031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430</w:t>
            </w:r>
          </w:p>
        </w:tc>
        <w:tc>
          <w:tcPr>
            <w:tcW w:w="780" w:type="dxa"/>
            <w:vAlign w:val="center"/>
          </w:tcPr>
          <w:p w14:paraId="49A50FC1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94,00</w:t>
            </w:r>
          </w:p>
        </w:tc>
      </w:tr>
      <w:tr w14:paraId="5A5C7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0" w:type="dxa"/>
          </w:tcPr>
          <w:p w14:paraId="3451604A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 заболеваниями дыхательной системы</w:t>
            </w:r>
          </w:p>
        </w:tc>
        <w:tc>
          <w:tcPr>
            <w:tcW w:w="800" w:type="dxa"/>
          </w:tcPr>
          <w:p w14:paraId="20FC9BDE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596</w:t>
            </w:r>
          </w:p>
        </w:tc>
        <w:tc>
          <w:tcPr>
            <w:tcW w:w="803" w:type="dxa"/>
          </w:tcPr>
          <w:p w14:paraId="5F2AA7E4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110</w:t>
            </w:r>
          </w:p>
        </w:tc>
        <w:tc>
          <w:tcPr>
            <w:tcW w:w="1037" w:type="dxa"/>
            <w:vAlign w:val="center"/>
          </w:tcPr>
          <w:p w14:paraId="02EBE9E8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18,46</w:t>
            </w:r>
          </w:p>
        </w:tc>
        <w:tc>
          <w:tcPr>
            <w:tcW w:w="806" w:type="dxa"/>
          </w:tcPr>
          <w:p w14:paraId="66DBC4E2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1315</w:t>
            </w:r>
          </w:p>
        </w:tc>
        <w:tc>
          <w:tcPr>
            <w:tcW w:w="850" w:type="dxa"/>
          </w:tcPr>
          <w:p w14:paraId="393F893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108</w:t>
            </w:r>
          </w:p>
        </w:tc>
        <w:tc>
          <w:tcPr>
            <w:tcW w:w="993" w:type="dxa"/>
            <w:vAlign w:val="center"/>
          </w:tcPr>
          <w:p w14:paraId="45F95F3F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8,21</w:t>
            </w:r>
          </w:p>
        </w:tc>
        <w:tc>
          <w:tcPr>
            <w:tcW w:w="850" w:type="dxa"/>
            <w:vAlign w:val="center"/>
          </w:tcPr>
          <w:p w14:paraId="65819FD0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528</w:t>
            </w:r>
          </w:p>
        </w:tc>
        <w:tc>
          <w:tcPr>
            <w:tcW w:w="851" w:type="dxa"/>
            <w:vAlign w:val="center"/>
          </w:tcPr>
          <w:p w14:paraId="4C21EB0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401</w:t>
            </w:r>
          </w:p>
        </w:tc>
        <w:tc>
          <w:tcPr>
            <w:tcW w:w="780" w:type="dxa"/>
            <w:vAlign w:val="center"/>
          </w:tcPr>
          <w:p w14:paraId="5578638E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76,00</w:t>
            </w:r>
          </w:p>
        </w:tc>
      </w:tr>
      <w:tr w14:paraId="5E45B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0" w:type="dxa"/>
          </w:tcPr>
          <w:p w14:paraId="595135C2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 заболеваниями эндокринной системы</w:t>
            </w:r>
          </w:p>
        </w:tc>
        <w:tc>
          <w:tcPr>
            <w:tcW w:w="800" w:type="dxa"/>
          </w:tcPr>
          <w:p w14:paraId="569C6AE9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454</w:t>
            </w:r>
          </w:p>
        </w:tc>
        <w:tc>
          <w:tcPr>
            <w:tcW w:w="803" w:type="dxa"/>
          </w:tcPr>
          <w:p w14:paraId="7ACA02E1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384</w:t>
            </w:r>
          </w:p>
        </w:tc>
        <w:tc>
          <w:tcPr>
            <w:tcW w:w="1037" w:type="dxa"/>
            <w:vAlign w:val="center"/>
          </w:tcPr>
          <w:p w14:paraId="16BE0C09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84,58</w:t>
            </w:r>
          </w:p>
        </w:tc>
        <w:tc>
          <w:tcPr>
            <w:tcW w:w="806" w:type="dxa"/>
          </w:tcPr>
          <w:p w14:paraId="55DDD038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614</w:t>
            </w:r>
          </w:p>
        </w:tc>
        <w:tc>
          <w:tcPr>
            <w:tcW w:w="850" w:type="dxa"/>
          </w:tcPr>
          <w:p w14:paraId="76C9B42C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393</w:t>
            </w:r>
          </w:p>
        </w:tc>
        <w:tc>
          <w:tcPr>
            <w:tcW w:w="993" w:type="dxa"/>
            <w:vAlign w:val="center"/>
          </w:tcPr>
          <w:p w14:paraId="02EB8708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64,01</w:t>
            </w:r>
          </w:p>
        </w:tc>
        <w:tc>
          <w:tcPr>
            <w:tcW w:w="850" w:type="dxa"/>
            <w:vAlign w:val="center"/>
          </w:tcPr>
          <w:p w14:paraId="139F7865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548</w:t>
            </w:r>
          </w:p>
        </w:tc>
        <w:tc>
          <w:tcPr>
            <w:tcW w:w="851" w:type="dxa"/>
            <w:vAlign w:val="center"/>
          </w:tcPr>
          <w:p w14:paraId="46848F5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488</w:t>
            </w:r>
          </w:p>
        </w:tc>
        <w:tc>
          <w:tcPr>
            <w:tcW w:w="780" w:type="dxa"/>
            <w:vAlign w:val="center"/>
          </w:tcPr>
          <w:p w14:paraId="77F477D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89,00</w:t>
            </w:r>
          </w:p>
        </w:tc>
      </w:tr>
      <w:tr w14:paraId="38107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0" w:type="dxa"/>
          </w:tcPr>
          <w:p w14:paraId="2B13605F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 заболеваниями пищеварительной системы</w:t>
            </w:r>
          </w:p>
        </w:tc>
        <w:tc>
          <w:tcPr>
            <w:tcW w:w="800" w:type="dxa"/>
          </w:tcPr>
          <w:p w14:paraId="012B591F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444</w:t>
            </w:r>
          </w:p>
        </w:tc>
        <w:tc>
          <w:tcPr>
            <w:tcW w:w="803" w:type="dxa"/>
          </w:tcPr>
          <w:p w14:paraId="7367E103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105</w:t>
            </w:r>
          </w:p>
        </w:tc>
        <w:tc>
          <w:tcPr>
            <w:tcW w:w="1037" w:type="dxa"/>
            <w:vAlign w:val="center"/>
          </w:tcPr>
          <w:p w14:paraId="516C51CA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23,65</w:t>
            </w:r>
          </w:p>
        </w:tc>
        <w:tc>
          <w:tcPr>
            <w:tcW w:w="806" w:type="dxa"/>
          </w:tcPr>
          <w:p w14:paraId="1584CB30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721</w:t>
            </w:r>
          </w:p>
        </w:tc>
        <w:tc>
          <w:tcPr>
            <w:tcW w:w="850" w:type="dxa"/>
          </w:tcPr>
          <w:p w14:paraId="3312914B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173</w:t>
            </w:r>
          </w:p>
        </w:tc>
        <w:tc>
          <w:tcPr>
            <w:tcW w:w="993" w:type="dxa"/>
            <w:vAlign w:val="center"/>
          </w:tcPr>
          <w:p w14:paraId="5A4B8CCC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23,99</w:t>
            </w:r>
          </w:p>
        </w:tc>
        <w:tc>
          <w:tcPr>
            <w:tcW w:w="850" w:type="dxa"/>
            <w:vAlign w:val="center"/>
          </w:tcPr>
          <w:p w14:paraId="7F0AF3DF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925</w:t>
            </w:r>
          </w:p>
        </w:tc>
        <w:tc>
          <w:tcPr>
            <w:tcW w:w="851" w:type="dxa"/>
            <w:vAlign w:val="center"/>
          </w:tcPr>
          <w:p w14:paraId="79603338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629</w:t>
            </w:r>
          </w:p>
        </w:tc>
        <w:tc>
          <w:tcPr>
            <w:tcW w:w="780" w:type="dxa"/>
            <w:vAlign w:val="center"/>
          </w:tcPr>
          <w:p w14:paraId="4B5E3BD9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68,00</w:t>
            </w:r>
          </w:p>
        </w:tc>
      </w:tr>
      <w:tr w14:paraId="1DF4B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0" w:type="dxa"/>
          </w:tcPr>
          <w:p w14:paraId="16174D2B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С заболеваниями мочеполовой системы</w:t>
            </w:r>
          </w:p>
        </w:tc>
        <w:tc>
          <w:tcPr>
            <w:tcW w:w="800" w:type="dxa"/>
          </w:tcPr>
          <w:p w14:paraId="2934463B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347</w:t>
            </w:r>
          </w:p>
        </w:tc>
        <w:tc>
          <w:tcPr>
            <w:tcW w:w="803" w:type="dxa"/>
          </w:tcPr>
          <w:p w14:paraId="3BB19EFC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238</w:t>
            </w:r>
          </w:p>
        </w:tc>
        <w:tc>
          <w:tcPr>
            <w:tcW w:w="1037" w:type="dxa"/>
            <w:vAlign w:val="center"/>
          </w:tcPr>
          <w:p w14:paraId="379AF7D5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68,59</w:t>
            </w:r>
          </w:p>
        </w:tc>
        <w:tc>
          <w:tcPr>
            <w:tcW w:w="806" w:type="dxa"/>
          </w:tcPr>
          <w:p w14:paraId="1CDE7C0D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405</w:t>
            </w:r>
          </w:p>
        </w:tc>
        <w:tc>
          <w:tcPr>
            <w:tcW w:w="850" w:type="dxa"/>
          </w:tcPr>
          <w:p w14:paraId="4C4C10AF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lang w:val="en-US" w:eastAsia="zh-CN"/>
              </w:rPr>
              <w:t>315</w:t>
            </w:r>
          </w:p>
        </w:tc>
        <w:tc>
          <w:tcPr>
            <w:tcW w:w="993" w:type="dxa"/>
            <w:vAlign w:val="center"/>
          </w:tcPr>
          <w:p w14:paraId="30C4F29C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zh-CN"/>
              </w:rPr>
              <w:t>77,78</w:t>
            </w:r>
          </w:p>
        </w:tc>
        <w:tc>
          <w:tcPr>
            <w:tcW w:w="850" w:type="dxa"/>
            <w:vAlign w:val="center"/>
          </w:tcPr>
          <w:p w14:paraId="482FB565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486</w:t>
            </w:r>
          </w:p>
        </w:tc>
        <w:tc>
          <w:tcPr>
            <w:tcW w:w="851" w:type="dxa"/>
            <w:vAlign w:val="center"/>
          </w:tcPr>
          <w:p w14:paraId="786D0434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447</w:t>
            </w:r>
          </w:p>
        </w:tc>
        <w:tc>
          <w:tcPr>
            <w:tcW w:w="780" w:type="dxa"/>
            <w:vAlign w:val="center"/>
          </w:tcPr>
          <w:p w14:paraId="3822F204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92,00</w:t>
            </w:r>
          </w:p>
        </w:tc>
      </w:tr>
    </w:tbl>
    <w:p w14:paraId="3C0D8D9E">
      <w:pPr>
        <w:spacing w:before="120" w:after="120"/>
      </w:pPr>
    </w:p>
    <w:p w14:paraId="12DDD4A7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Доля пациентов, взятых под диспансерное наблюдение с впервые в жизни установленными заболеваниями (в %):</w:t>
      </w:r>
    </w:p>
    <w:tbl>
      <w:tblPr>
        <w:tblStyle w:val="16"/>
        <w:tblpPr w:leftFromText="180" w:rightFromText="180" w:vertAnchor="text" w:horzAnchor="page" w:tblpX="1770" w:tblpY="3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1"/>
        <w:gridCol w:w="1985"/>
      </w:tblGrid>
      <w:tr w14:paraId="100F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7CAA79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C06CA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14:paraId="600E4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  <w:gridSpan w:val="2"/>
          </w:tcPr>
          <w:p w14:paraId="6C1D9DF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Для взрослого населения</w:t>
            </w:r>
          </w:p>
        </w:tc>
      </w:tr>
      <w:tr w14:paraId="3502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27CCED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сердечно-сосудистой системы</w:t>
            </w:r>
          </w:p>
        </w:tc>
        <w:tc>
          <w:tcPr>
            <w:tcW w:w="1985" w:type="dxa"/>
          </w:tcPr>
          <w:p w14:paraId="7A0CC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477</w:t>
            </w:r>
            <w:r>
              <w:rPr>
                <w:rFonts w:ascii="Times New Roman" w:hAnsi="Times New Roman" w:cs="Times New Roman"/>
                <w:lang w:val="en-US"/>
              </w:rPr>
              <w:t>/100%</w:t>
            </w:r>
          </w:p>
        </w:tc>
      </w:tr>
      <w:tr w14:paraId="094D8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378624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онкологическими заболеваниями</w:t>
            </w:r>
          </w:p>
        </w:tc>
        <w:tc>
          <w:tcPr>
            <w:tcW w:w="1985" w:type="dxa"/>
          </w:tcPr>
          <w:p w14:paraId="204753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243/243/100%</w:t>
            </w:r>
          </w:p>
        </w:tc>
      </w:tr>
      <w:tr w14:paraId="5E8B5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4577A4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дыхательной системы</w:t>
            </w:r>
          </w:p>
        </w:tc>
        <w:tc>
          <w:tcPr>
            <w:tcW w:w="1985" w:type="dxa"/>
          </w:tcPr>
          <w:p w14:paraId="20CD1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1467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903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61,55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14:paraId="0A733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13727A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эндокринной системы</w:t>
            </w:r>
          </w:p>
        </w:tc>
        <w:tc>
          <w:tcPr>
            <w:tcW w:w="1985" w:type="dxa"/>
          </w:tcPr>
          <w:p w14:paraId="16EE562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115/115/100%</w:t>
            </w:r>
          </w:p>
        </w:tc>
      </w:tr>
      <w:tr w14:paraId="3DF0E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16CBC3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пищеварительной системы</w:t>
            </w:r>
          </w:p>
        </w:tc>
        <w:tc>
          <w:tcPr>
            <w:tcW w:w="1985" w:type="dxa"/>
          </w:tcPr>
          <w:p w14:paraId="49ADFAB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641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478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74,5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14:paraId="6C56D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08095A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мочеполовой системы</w:t>
            </w:r>
          </w:p>
        </w:tc>
        <w:tc>
          <w:tcPr>
            <w:tcW w:w="1985" w:type="dxa"/>
          </w:tcPr>
          <w:p w14:paraId="668CDC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728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404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55,49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14:paraId="3643D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  <w:gridSpan w:val="2"/>
          </w:tcPr>
          <w:p w14:paraId="710BBA6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Для детского населения</w:t>
            </w:r>
          </w:p>
        </w:tc>
      </w:tr>
      <w:tr w14:paraId="68EFA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36CE29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болезнями костно-мышечной системы и соединительной ткани</w:t>
            </w:r>
          </w:p>
        </w:tc>
        <w:tc>
          <w:tcPr>
            <w:tcW w:w="1985" w:type="dxa"/>
          </w:tcPr>
          <w:p w14:paraId="0EE1CF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12/12/100%</w:t>
            </w:r>
          </w:p>
        </w:tc>
      </w:tr>
      <w:tr w14:paraId="6AD8E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1EDFF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болезнями глаза и его придаточного аппарата</w:t>
            </w:r>
          </w:p>
        </w:tc>
        <w:tc>
          <w:tcPr>
            <w:tcW w:w="1985" w:type="dxa"/>
          </w:tcPr>
          <w:p w14:paraId="39BA74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25/25/100%</w:t>
            </w:r>
          </w:p>
        </w:tc>
      </w:tr>
      <w:tr w14:paraId="331F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381A41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системы кровообращения</w:t>
            </w:r>
          </w:p>
        </w:tc>
        <w:tc>
          <w:tcPr>
            <w:tcW w:w="1985" w:type="dxa"/>
          </w:tcPr>
          <w:p w14:paraId="2A1CAF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1/1/100%</w:t>
            </w:r>
          </w:p>
        </w:tc>
      </w:tr>
      <w:tr w14:paraId="61B7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1FF261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эндокринной системы</w:t>
            </w:r>
          </w:p>
        </w:tc>
        <w:tc>
          <w:tcPr>
            <w:tcW w:w="1985" w:type="dxa"/>
          </w:tcPr>
          <w:p w14:paraId="3FA5D2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31/31/100%</w:t>
            </w:r>
          </w:p>
        </w:tc>
      </w:tr>
      <w:tr w14:paraId="0FC21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472A64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пищеварительной системы</w:t>
            </w:r>
          </w:p>
        </w:tc>
        <w:tc>
          <w:tcPr>
            <w:tcW w:w="1985" w:type="dxa"/>
          </w:tcPr>
          <w:p w14:paraId="4D0024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303/277/91,42%</w:t>
            </w:r>
          </w:p>
        </w:tc>
      </w:tr>
      <w:tr w14:paraId="2DC14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1" w:type="dxa"/>
          </w:tcPr>
          <w:p w14:paraId="64C31B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3AC54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E61EAC0"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8603C1E">
      <w:pPr>
        <w:spacing w:after="0"/>
        <w:ind w:left="0" w:leftChars="0" w:firstLine="439" w:firstLineChars="157"/>
        <w:jc w:val="both"/>
        <w:rPr>
          <w:rFonts w:ascii="Times New Roman" w:hAnsi="Times New Roman" w:cs="Times New Roman"/>
          <w:sz w:val="28"/>
          <w:szCs w:val="28"/>
        </w:rPr>
      </w:pPr>
    </w:p>
    <w:p w14:paraId="3080DAF6">
      <w:pPr>
        <w:tabs>
          <w:tab w:val="left" w:pos="1980"/>
        </w:tabs>
        <w:spacing w:after="0" w:line="240" w:lineRule="auto"/>
        <w:ind w:firstLine="658" w:firstLineChars="235"/>
        <w:jc w:val="center"/>
        <w:rPr>
          <w:rFonts w:hint="default" w:ascii="Times New Roman" w:hAnsi="Times New Roman"/>
          <w:sz w:val="28"/>
          <w:szCs w:val="28"/>
          <w:lang w:val="ru-RU" w:eastAsia="zh-CN"/>
        </w:rPr>
      </w:pPr>
    </w:p>
    <w:p w14:paraId="2F19AA83">
      <w:pPr>
        <w:tabs>
          <w:tab w:val="left" w:pos="1980"/>
        </w:tabs>
        <w:spacing w:after="0" w:line="240" w:lineRule="auto"/>
        <w:ind w:firstLine="658" w:firstLineChars="235"/>
        <w:jc w:val="both"/>
        <w:rPr>
          <w:rFonts w:hint="default" w:ascii="Times New Roman" w:hAnsi="Times New Roman" w:eastAsia="sans-serif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hint="default" w:ascii="Times New Roman" w:hAnsi="Times New Roman" w:eastAsia="sans-serif" w:cs="Times New Roman"/>
          <w:sz w:val="28"/>
          <w:szCs w:val="28"/>
          <w:shd w:val="clear" w:color="auto" w:fill="FFFFFF"/>
          <w:lang w:eastAsia="zh-CN" w:bidi="ar"/>
        </w:rPr>
        <w:t>Реализация программы позволит обеспечить достижения следующих результатов:</w:t>
      </w:r>
    </w:p>
    <w:p w14:paraId="62A8110F">
      <w:pPr>
        <w:pStyle w:val="31"/>
        <w:ind w:left="0" w:leftChars="0" w:firstLine="658" w:firstLineChars="235"/>
        <w:jc w:val="both"/>
        <w:rPr>
          <w:rFonts w:hint="default" w:ascii="Times New Roman" w:hAnsi="Times New Roman" w:eastAsia="sans-serif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hint="default" w:ascii="Times New Roman" w:hAnsi="Times New Roman" w:cs="Times New Roman"/>
          <w:color w:val="222222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Повышение уровня вовлеченности населения в профилактические мероприятия с целью укрепления здоровья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;</w:t>
      </w:r>
    </w:p>
    <w:p w14:paraId="7391FE6C">
      <w:pPr>
        <w:tabs>
          <w:tab w:val="left" w:pos="1980"/>
        </w:tabs>
        <w:spacing w:after="0" w:line="240" w:lineRule="auto"/>
        <w:ind w:firstLine="658" w:firstLineChars="235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>Снижение смертности и улучшение здоровья населения, в первую очередь трудоспособного, за счет снижения факторов риска, выявления заболеваний на ранней стадии путем проведения профилактических осмотров и диспансеризации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.</w:t>
      </w:r>
    </w:p>
    <w:p w14:paraId="1DD924E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4EC98ACF">
      <w:pPr>
        <w:pStyle w:val="1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76F4FF6C">
      <w:pPr>
        <w:pStyle w:val="1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18E232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431" w:firstLineChars="154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Приоритеты муниципальной политики на территории Анучинского муниципального округа в сфере реализации муниципальной программы определены исходя из задач, поставленных в 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Постановление Правительства Российской Федерации от 26 декабря 2017 года № 1640 «Об утверждении государственной программы Российской Федерации "Развитие здравоохранения»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 xml:space="preserve"> (ред. от 13.07.2024), в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Ф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едеральн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ом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закон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от 21.11.2011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323-ФЗ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"Об основах охраны здоровья граждан в Российской Федерации"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(ред. от 08.08.2024)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, в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Постановление Администрации Приморского края от 27.12.2019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932-па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"Об утверждении государственной программы Приморского края "Развитие здравоохранения Приморского края"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>(ред. от 09.07.2024)</w:t>
      </w:r>
    </w:p>
    <w:p w14:paraId="04E9A0D1">
      <w:pPr>
        <w:shd w:val="clear" w:color="auto" w:fill="FFFFFF" w:themeFill="background1"/>
        <w:autoSpaceDE w:val="0"/>
        <w:spacing w:after="0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Муниципальная программа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позвол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т сохранить население, здоровье и благополучие людей, обеспечить устойчивый рост численности населения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округа</w:t>
      </w:r>
      <w:r>
        <w:rPr>
          <w:rFonts w:hint="default" w:ascii="Times New Roman" w:hAnsi="Times New Roman" w:eastAsia="SimSun" w:cs="Times New Roman"/>
          <w:sz w:val="28"/>
          <w:szCs w:val="28"/>
        </w:rPr>
        <w:t>, позволит снизить смертность и повысить продолжительность жизни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. Б</w:t>
      </w:r>
      <w:r>
        <w:rPr>
          <w:rFonts w:hint="default" w:ascii="Times New Roman" w:hAnsi="Times New Roman" w:eastAsia="SimSun" w:cs="Times New Roman"/>
          <w:sz w:val="28"/>
          <w:szCs w:val="28"/>
        </w:rPr>
        <w:t>есплатно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оказани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гражданам медицинской помощи (включает в себя организационное сопровождение проведения профилактических медицинских осмотров и диспансеризации населения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), </w:t>
      </w:r>
      <w:r>
        <w:rPr>
          <w:rFonts w:hint="default" w:ascii="Times New Roman" w:hAnsi="Times New Roman" w:eastAsia="SimSun" w:cs="Times New Roman"/>
          <w:sz w:val="28"/>
          <w:szCs w:val="28"/>
        </w:rPr>
        <w:t>мотивирование граждан к ведению здорового образа жизни посредством проведения информационно-коммуникационной кампании, а также вовлечения граждан, волонтеров, в мероприятия по укреплению общественного здоровья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.</w:t>
      </w:r>
    </w:p>
    <w:p w14:paraId="4276F7D1">
      <w:pPr>
        <w:shd w:val="clear" w:color="auto" w:fill="FFFFFF" w:themeFill="background1"/>
        <w:autoSpaceDE w:val="0"/>
        <w:spacing w:after="0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 w14:paraId="47658806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12E43A45">
      <w:pPr>
        <w:pStyle w:val="17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7A4FF402">
      <w:pPr>
        <w:spacing w:after="0"/>
        <w:ind w:firstLine="658" w:firstLineChars="235"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</w:rPr>
        <w:t>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0F3894F8">
      <w:pPr>
        <w:spacing w:after="0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14:paraId="4D1677BC">
      <w:pPr>
        <w:spacing w:after="0" w:line="240" w:lineRule="auto"/>
        <w:ind w:left="0" w:leftChars="0" w:firstLine="439" w:firstLineChars="1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Формирование среды, способствующей ведению гражданами здорового образа жизни за счет мотивирования граждан и некоммерческих организаций в мероприятия по укреплению общественного здоровья посредством информационно-коммуникационной кампании.</w:t>
      </w:r>
    </w:p>
    <w:p w14:paraId="01141CBB">
      <w:pPr>
        <w:shd w:val="clear" w:color="auto" w:fill="FFFFFF"/>
        <w:spacing w:after="0"/>
        <w:ind w:left="0" w:leftChars="0" w:firstLine="440" w:firstLineChars="0"/>
        <w:jc w:val="both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жизни.</w:t>
      </w:r>
    </w:p>
    <w:p w14:paraId="2152EB36">
      <w:pPr>
        <w:shd w:val="clear" w:color="auto" w:fill="FFFFFF"/>
        <w:spacing w:after="0"/>
        <w:ind w:firstLine="720"/>
        <w:jc w:val="center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70955212">
      <w:pPr>
        <w:pStyle w:val="26"/>
        <w:numPr>
          <w:ilvl w:val="0"/>
          <w:numId w:val="2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0C58F7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4841BB99">
      <w:pPr>
        <w:shd w:val="clear" w:color="auto" w:fill="FFFFFF"/>
        <w:spacing w:after="0"/>
        <w:ind w:firstLine="720"/>
        <w:jc w:val="center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16"/>
        <w:tblW w:w="99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851"/>
        <w:gridCol w:w="992"/>
        <w:gridCol w:w="1087"/>
        <w:gridCol w:w="960"/>
        <w:gridCol w:w="1072"/>
        <w:gridCol w:w="983"/>
      </w:tblGrid>
      <w:tr w14:paraId="3E83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restart"/>
            <w:shd w:val="clear" w:color="auto" w:fill="auto"/>
          </w:tcPr>
          <w:p w14:paraId="36340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4F917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катора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1197D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4428C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5094" w:type="dxa"/>
            <w:gridSpan w:val="5"/>
            <w:shd w:val="clear" w:color="auto" w:fill="auto"/>
          </w:tcPr>
          <w:p w14:paraId="1D6894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14:paraId="6DD4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  <w:shd w:val="clear" w:color="auto" w:fill="auto"/>
          </w:tcPr>
          <w:p w14:paraId="0EFB2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  <w:shd w:val="clear" w:color="auto" w:fill="auto"/>
          </w:tcPr>
          <w:p w14:paraId="75DE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4" w:type="dxa"/>
            <w:gridSpan w:val="5"/>
            <w:shd w:val="clear" w:color="auto" w:fill="auto"/>
          </w:tcPr>
          <w:p w14:paraId="6E94A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14:paraId="75E49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  <w:shd w:val="clear" w:color="auto" w:fill="auto"/>
          </w:tcPr>
          <w:p w14:paraId="2541D7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  <w:shd w:val="clear" w:color="auto" w:fill="auto"/>
          </w:tcPr>
          <w:p w14:paraId="2B8BBA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91C57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087" w:type="dxa"/>
            <w:shd w:val="clear" w:color="auto" w:fill="auto"/>
          </w:tcPr>
          <w:p w14:paraId="166B771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60" w:type="dxa"/>
            <w:shd w:val="clear" w:color="auto" w:fill="auto"/>
          </w:tcPr>
          <w:p w14:paraId="1927DCB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072" w:type="dxa"/>
            <w:shd w:val="clear" w:color="auto" w:fill="auto"/>
          </w:tcPr>
          <w:p w14:paraId="678942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83" w:type="dxa"/>
            <w:shd w:val="clear" w:color="auto" w:fill="auto"/>
          </w:tcPr>
          <w:p w14:paraId="0C0295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14:paraId="102B8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shd w:val="clear" w:color="auto" w:fill="auto"/>
            <w:vAlign w:val="top"/>
          </w:tcPr>
          <w:p w14:paraId="1D3E9B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hAnsi="Times New Roman" w:eastAsia="Lucida Sans Unicode" w:cs="Times New Roman"/>
                <w:color w:val="000000"/>
                <w:sz w:val="24"/>
                <w:szCs w:val="24"/>
              </w:rPr>
              <w:t xml:space="preserve">, в возрасте 16-59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hAnsi="Times New Roman" w:eastAsia="Lucida Sans Unicode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851" w:type="dxa"/>
            <w:shd w:val="clear" w:color="auto" w:fill="auto"/>
            <w:vAlign w:val="top"/>
          </w:tcPr>
          <w:p w14:paraId="3CC03D0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7128DF2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20/518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087" w:type="dxa"/>
            <w:shd w:val="clear" w:color="auto" w:fill="auto"/>
            <w:vAlign w:val="top"/>
          </w:tcPr>
          <w:p w14:paraId="54DC35F2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19/499,1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45617801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18/477,2</w:t>
            </w:r>
          </w:p>
        </w:tc>
        <w:tc>
          <w:tcPr>
            <w:tcW w:w="1072" w:type="dxa"/>
            <w:shd w:val="clear" w:color="auto" w:fill="auto"/>
            <w:vAlign w:val="top"/>
          </w:tcPr>
          <w:p w14:paraId="37CC54F5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17/455,3</w:t>
            </w:r>
          </w:p>
        </w:tc>
        <w:tc>
          <w:tcPr>
            <w:tcW w:w="983" w:type="dxa"/>
            <w:shd w:val="clear" w:color="auto" w:fill="auto"/>
            <w:vAlign w:val="top"/>
          </w:tcPr>
          <w:p w14:paraId="673D28D3">
            <w:pPr>
              <w:spacing w:after="0" w:line="360" w:lineRule="auto"/>
              <w:ind w:right="-108" w:righ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16/432,5</w:t>
            </w:r>
          </w:p>
        </w:tc>
      </w:tr>
      <w:tr w14:paraId="6047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shd w:val="clear" w:color="auto" w:fill="auto"/>
            <w:vAlign w:val="top"/>
          </w:tcPr>
          <w:p w14:paraId="36ACAB0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женщин трудоспособного возраста на 100 тыс. населения</w:t>
            </w:r>
            <w:r>
              <w:rPr>
                <w:rFonts w:ascii="Times New Roman" w:hAnsi="Times New Roman" w:eastAsia="Lucida Sans Unicode" w:cs="Times New Roman"/>
                <w:color w:val="000000"/>
                <w:sz w:val="24"/>
                <w:szCs w:val="24"/>
              </w:rPr>
              <w:t xml:space="preserve">, в возрасте 16-54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hAnsi="Times New Roman" w:eastAsia="Lucida Sans Unicode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851" w:type="dxa"/>
            <w:shd w:val="clear" w:color="auto" w:fill="auto"/>
            <w:vAlign w:val="top"/>
          </w:tcPr>
          <w:p w14:paraId="102BDB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3B029B54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5/181,3</w:t>
            </w:r>
          </w:p>
        </w:tc>
        <w:tc>
          <w:tcPr>
            <w:tcW w:w="1087" w:type="dxa"/>
            <w:shd w:val="clear" w:color="auto" w:fill="auto"/>
            <w:vAlign w:val="top"/>
          </w:tcPr>
          <w:p w14:paraId="489DF6AA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5/183,7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070F94FA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5/185,4</w:t>
            </w:r>
          </w:p>
        </w:tc>
        <w:tc>
          <w:tcPr>
            <w:tcW w:w="1072" w:type="dxa"/>
            <w:shd w:val="clear" w:color="auto" w:fill="auto"/>
            <w:vAlign w:val="top"/>
          </w:tcPr>
          <w:p w14:paraId="50CE6D9B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5/187,3</w:t>
            </w:r>
          </w:p>
        </w:tc>
        <w:tc>
          <w:tcPr>
            <w:tcW w:w="983" w:type="dxa"/>
            <w:shd w:val="clear" w:color="auto" w:fill="auto"/>
            <w:vAlign w:val="top"/>
          </w:tcPr>
          <w:p w14:paraId="12AC6B86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4/151,3</w:t>
            </w:r>
          </w:p>
        </w:tc>
      </w:tr>
      <w:tr w14:paraId="034F3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shd w:val="clear" w:color="auto" w:fill="auto"/>
            <w:vAlign w:val="top"/>
          </w:tcPr>
          <w:p w14:paraId="3B6037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Lucida Sans Unicode" w:cs="Times New Roman"/>
                <w:color w:val="000000"/>
                <w:sz w:val="24"/>
                <w:szCs w:val="24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жизни,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top"/>
          </w:tcPr>
          <w:p w14:paraId="3A0D6D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68F28667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230</w:t>
            </w:r>
          </w:p>
        </w:tc>
        <w:tc>
          <w:tcPr>
            <w:tcW w:w="1087" w:type="dxa"/>
            <w:shd w:val="clear" w:color="auto" w:fill="auto"/>
            <w:vAlign w:val="top"/>
          </w:tcPr>
          <w:p w14:paraId="45324179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235</w:t>
            </w:r>
          </w:p>
        </w:tc>
        <w:tc>
          <w:tcPr>
            <w:tcW w:w="960" w:type="dxa"/>
            <w:shd w:val="clear" w:color="auto" w:fill="auto"/>
            <w:vAlign w:val="top"/>
          </w:tcPr>
          <w:p w14:paraId="69572A7E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1072" w:type="dxa"/>
            <w:shd w:val="clear" w:color="auto" w:fill="auto"/>
            <w:vAlign w:val="top"/>
          </w:tcPr>
          <w:p w14:paraId="10F319CC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245</w:t>
            </w:r>
          </w:p>
        </w:tc>
        <w:tc>
          <w:tcPr>
            <w:tcW w:w="983" w:type="dxa"/>
            <w:shd w:val="clear" w:color="auto" w:fill="auto"/>
            <w:vAlign w:val="top"/>
          </w:tcPr>
          <w:p w14:paraId="6C314A13">
            <w:pPr>
              <w:spacing w:after="0" w:line="36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250</w:t>
            </w:r>
          </w:p>
        </w:tc>
      </w:tr>
    </w:tbl>
    <w:p w14:paraId="178818E9">
      <w:pPr>
        <w:shd w:val="clear" w:color="auto" w:fill="FFFFFF"/>
        <w:spacing w:after="0"/>
        <w:jc w:val="both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43BE9BA1">
      <w:pPr>
        <w:shd w:val="clear" w:color="auto" w:fill="FFFFFF"/>
        <w:spacing w:after="0"/>
        <w:jc w:val="center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21F59101">
      <w:pPr>
        <w:numPr>
          <w:ilvl w:val="0"/>
          <w:numId w:val="2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0454E7A5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8149BA1">
      <w:pPr>
        <w:pStyle w:val="31"/>
        <w:spacing w:line="276" w:lineRule="auto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2F379BC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34A2D17D">
      <w:pPr>
        <w:numPr>
          <w:ilvl w:val="0"/>
          <w:numId w:val="2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461C8E55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Механизм реализации программы представляет собой комплекс мероприятий:</w:t>
      </w:r>
    </w:p>
    <w:p w14:paraId="6F7120DD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>формирование и обеспечение функционирования службы                    общественного здоровья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;</w:t>
      </w:r>
    </w:p>
    <w:p w14:paraId="480D015A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проведение информационно - коммуникационной кампании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14:paraId="204F6B18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мероприятия по формированию среды, способствующей ведению здорового образа жизни</w:t>
      </w:r>
      <w:r>
        <w:rPr>
          <w:rFonts w:hint="default" w:ascii="Times New Roman" w:hAnsi="Times New Roman"/>
          <w:sz w:val="28"/>
          <w:szCs w:val="28"/>
          <w:lang w:val="ru-RU"/>
        </w:rPr>
        <w:t>;</w:t>
      </w:r>
    </w:p>
    <w:p w14:paraId="0009FD66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>мероприятия по выявлению и коррекции факторов риска основных хронических неинфекционных заболеваний у населения анучинского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;</w:t>
      </w:r>
    </w:p>
    <w:p w14:paraId="679AEEA5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организационное, правовое, финансовое обеспечение реализации программы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;</w:t>
      </w:r>
    </w:p>
    <w:p w14:paraId="6BAD8684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>;</w:t>
      </w:r>
    </w:p>
    <w:p w14:paraId="2CF47302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45E4262F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3802299B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01EED7AF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0E2949C4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170BF3C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10DC7FC5">
      <w:pPr>
        <w:pStyle w:val="27"/>
        <w:ind w:firstLine="658" w:firstLineChars="235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 и молодежной политики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14:paraId="183E87D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1ABA61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1B2B59B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13599255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DCFBAF0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7102F7A4">
      <w:pPr>
        <w:autoSpaceDE w:val="0"/>
        <w:autoSpaceDN w:val="0"/>
        <w:adjustRightInd w:val="0"/>
        <w:spacing w:after="0" w:line="240" w:lineRule="auto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07E287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47D00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5015993E">
      <w:pPr>
        <w:pStyle w:val="31"/>
        <w:jc w:val="both"/>
        <w:rPr>
          <w:rFonts w:ascii="Times New Roman" w:hAnsi="Times New Roman" w:cs="Times New Roman" w:eastAsiaTheme="minorHAns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>-принятыми муниципальными правовыми актами.</w:t>
      </w:r>
    </w:p>
    <w:p w14:paraId="02EB019B">
      <w:pPr>
        <w:pStyle w:val="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3DCA1669">
      <w:pPr>
        <w:numPr>
          <w:ilvl w:val="0"/>
          <w:numId w:val="2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74EBFD7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 фактически привлечённых иных средств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6F2452A2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4F7F051F">
      <w:pPr>
        <w:numPr>
          <w:ilvl w:val="0"/>
          <w:numId w:val="2"/>
        </w:numPr>
        <w:shd w:val="clear" w:color="auto" w:fill="FFFFFF"/>
        <w:spacing w:after="0" w:line="360" w:lineRule="auto"/>
        <w:ind w:left="36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F91F2D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49A7A339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5FDBF9FD">
      <w:pPr>
        <w:numPr>
          <w:ilvl w:val="0"/>
          <w:numId w:val="2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564652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1C0FBC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0B411F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216A34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090A17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301F13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2C6E7B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16391C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6F7269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1D0C53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7C06E3C8">
      <w:pPr>
        <w:pStyle w:val="3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782AE6D8">
      <w:pPr>
        <w:pStyle w:val="3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5B4470F9">
      <w:pPr>
        <w:pStyle w:val="3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2BF7FCC2">
      <w:pPr>
        <w:pStyle w:val="3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5B6A2EB3">
      <w:pPr>
        <w:pStyle w:val="3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4E20FA97">
      <w:pPr>
        <w:spacing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378" w:right="850" w:bottom="1060" w:left="1417" w:header="708" w:footer="283" w:gutter="0"/>
          <w:cols w:space="708" w:num="1"/>
          <w:docGrid w:linePitch="360" w:charSpace="0"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/>
      </w:r>
    </w:p>
    <w:p w14:paraId="02DB02C7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0D2DE03D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7E99A8DD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0A8DD3B5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12ADE3BE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p w14:paraId="536B4605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16"/>
        <w:tblW w:w="147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780"/>
        <w:gridCol w:w="2349"/>
        <w:gridCol w:w="1200"/>
        <w:gridCol w:w="1245"/>
        <w:gridCol w:w="3738"/>
        <w:gridCol w:w="2925"/>
      </w:tblGrid>
      <w:tr w14:paraId="54531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</w:tcPr>
          <w:p w14:paraId="3915904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14:paraId="5CF613D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2349" w:type="dxa"/>
            <w:vMerge w:val="restart"/>
          </w:tcPr>
          <w:p w14:paraId="37997E2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</w:tcPr>
          <w:p w14:paraId="757F99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738" w:type="dxa"/>
            <w:vMerge w:val="restart"/>
          </w:tcPr>
          <w:p w14:paraId="06DD6CE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14:paraId="47BBD6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(индекатор)</w:t>
            </w:r>
          </w:p>
          <w:p w14:paraId="536717A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055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2906CD0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 w:val="continue"/>
          </w:tcPr>
          <w:p w14:paraId="6524479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9" w:type="dxa"/>
            <w:vMerge w:val="continue"/>
          </w:tcPr>
          <w:p w14:paraId="2D0F41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2"/>
          </w:tcPr>
          <w:p w14:paraId="68585E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38" w:type="dxa"/>
            <w:vMerge w:val="continue"/>
          </w:tcPr>
          <w:p w14:paraId="1AC0F54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 w:val="continue"/>
          </w:tcPr>
          <w:p w14:paraId="3A9A447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FD33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65E416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 w:val="continue"/>
          </w:tcPr>
          <w:p w14:paraId="443371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9" w:type="dxa"/>
            <w:vMerge w:val="continue"/>
          </w:tcPr>
          <w:p w14:paraId="256FF1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</w:tcPr>
          <w:p w14:paraId="2446852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45" w:type="dxa"/>
          </w:tcPr>
          <w:p w14:paraId="0B47B8D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738" w:type="dxa"/>
            <w:vMerge w:val="continue"/>
          </w:tcPr>
          <w:p w14:paraId="08E871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 w:val="continue"/>
          </w:tcPr>
          <w:p w14:paraId="0792AC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7CC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B65EF0A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14:paraId="63841A98">
            <w:pPr>
              <w:pStyle w:val="27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Проведение информационно - коммуникационной кампании</w:t>
            </w:r>
          </w:p>
          <w:p w14:paraId="65A0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  <w:vAlign w:val="top"/>
          </w:tcPr>
          <w:p w14:paraId="30CF6949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5362F92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14DEBA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1DB8392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7D1C6E1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КГБУЗ "Анучинская ЦРБ"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79E97F03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200" w:type="dxa"/>
          </w:tcPr>
          <w:p w14:paraId="0A2061A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1245" w:type="dxa"/>
          </w:tcPr>
          <w:p w14:paraId="36DC03F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3738" w:type="dxa"/>
          </w:tcPr>
          <w:p w14:paraId="7D511BCF">
            <w:pPr>
              <w:pStyle w:val="31"/>
              <w:ind w:left="0" w:leftChars="0" w:firstLine="187" w:firstLineChars="78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Повышение уровня вовлеченности населения в профилактические мероприятия с целью укрепления здоровья</w:t>
            </w:r>
          </w:p>
          <w:p w14:paraId="4C21321B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6533A92F">
            <w:pPr>
              <w:spacing w:after="0" w:line="240" w:lineRule="auto"/>
              <w:ind w:firstLine="439" w:firstLineChars="183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Lucida Sans Unicode" w:cs="Times New Roman"/>
                <w:color w:val="000000"/>
                <w:sz w:val="24"/>
                <w:szCs w:val="24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жизни,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3D36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AC98DE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14:paraId="093F7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23EAD2">
            <w:pPr>
              <w:spacing w:after="0" w:line="240" w:lineRule="auto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6720C1FB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F64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shd w:val="clear" w:color="auto" w:fill="auto"/>
            <w:vAlign w:val="top"/>
          </w:tcPr>
          <w:p w14:paraId="3E0B49A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6E01D63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3E46C698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7F5DED3F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1EA4FAD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КГБУЗ "Анучинская ЦРБ"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02D27A04">
            <w:pPr>
              <w:numPr>
                <w:ilvl w:val="0"/>
                <w:numId w:val="0"/>
              </w:numPr>
              <w:tabs>
                <w:tab w:val="left" w:pos="75"/>
              </w:tabs>
              <w:spacing w:after="0" w:line="240" w:lineRule="auto"/>
              <w:ind w:left="75" w:leftChars="0"/>
              <w:jc w:val="both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200" w:type="dxa"/>
          </w:tcPr>
          <w:p w14:paraId="72AFAC2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45" w:type="dxa"/>
          </w:tcPr>
          <w:p w14:paraId="63B8E46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738" w:type="dxa"/>
          </w:tcPr>
          <w:p w14:paraId="110C4B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auto"/>
                <w:sz w:val="24"/>
                <w:szCs w:val="24"/>
              </w:rPr>
              <w:t>Снижение смертности и улучшение здоровья населения, в первую очередь трудоспособного, за счет снижения факторов риска, выявления заболеваний на ранней стадии путем проведения профилактических осмотров и диспансеризации</w:t>
            </w:r>
          </w:p>
        </w:tc>
        <w:tc>
          <w:tcPr>
            <w:tcW w:w="2925" w:type="dxa"/>
          </w:tcPr>
          <w:p w14:paraId="08CFC150">
            <w:pPr>
              <w:spacing w:after="0" w:line="240" w:lineRule="auto"/>
              <w:jc w:val="both"/>
              <w:rPr>
                <w:rFonts w:ascii="Times New Roman" w:hAnsi="Times New Roman" w:eastAsia="Lucida Sans Unicode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hAnsi="Times New Roman" w:eastAsia="Lucida Sans Unicode" w:cs="Times New Roman"/>
                <w:color w:val="auto"/>
                <w:sz w:val="24"/>
                <w:szCs w:val="24"/>
              </w:rPr>
              <w:t xml:space="preserve">, в возрасте 16-59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(случаев)</w:t>
            </w:r>
            <w:r>
              <w:rPr>
                <w:rFonts w:ascii="Times New Roman" w:hAnsi="Times New Roman" w:eastAsia="Lucida Sans Unicode" w:cs="Times New Roman"/>
                <w:color w:val="auto"/>
                <w:sz w:val="24"/>
                <w:szCs w:val="24"/>
              </w:rPr>
              <w:t>;</w:t>
            </w:r>
          </w:p>
          <w:p w14:paraId="59D0AFE3">
            <w:pPr>
              <w:spacing w:after="0" w:line="240" w:lineRule="auto"/>
              <w:jc w:val="both"/>
              <w:rPr>
                <w:rFonts w:ascii="Times New Roman" w:hAnsi="Times New Roman" w:eastAsia="Lucida Sans Unicode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Смертность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женщин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трудоспособного возраста на 100 тыс. населения</w:t>
            </w:r>
            <w:r>
              <w:rPr>
                <w:rFonts w:ascii="Times New Roman" w:hAnsi="Times New Roman" w:eastAsia="Lucida Sans Unicode" w:cs="Times New Roman"/>
                <w:color w:val="auto"/>
                <w:sz w:val="24"/>
                <w:szCs w:val="24"/>
              </w:rPr>
              <w:t xml:space="preserve">, в возрасте 16-59 лет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(случаев)</w:t>
            </w:r>
            <w:r>
              <w:rPr>
                <w:rFonts w:ascii="Times New Roman" w:hAnsi="Times New Roman" w:eastAsia="Lucida Sans Unicode" w:cs="Times New Roman"/>
                <w:color w:val="auto"/>
                <w:sz w:val="24"/>
                <w:szCs w:val="24"/>
              </w:rPr>
              <w:t>;</w:t>
            </w:r>
          </w:p>
        </w:tc>
      </w:tr>
    </w:tbl>
    <w:p w14:paraId="3CC4E447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2B22F8DB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74144E7B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72951ED4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737E8AA7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56EA73B8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4B6DB32E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p w14:paraId="0658E57F">
      <w:pPr>
        <w:pStyle w:val="3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15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14:paraId="60CA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restart"/>
          </w:tcPr>
          <w:p w14:paraId="6E734277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3E897969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2CF977E8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r>
              <w:fldChar w:fldCharType="begin"/>
            </w:r>
            <w:r>
              <w:instrText xml:space="preserve"> HYPERLINK \l "P633"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743693A9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4223FB2E">
            <w:pPr>
              <w:pStyle w:val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19081800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14:paraId="637E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continue"/>
          </w:tcPr>
          <w:p w14:paraId="55553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 w:val="continue"/>
          </w:tcPr>
          <w:p w14:paraId="61E0ED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 w:val="continue"/>
          </w:tcPr>
          <w:p w14:paraId="04A7F7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351D21A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06A9A50A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45A7A578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14:paraId="76BDF0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150C0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 w:val="continue"/>
          </w:tcPr>
          <w:p w14:paraId="5DA3B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4994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</w:tcPr>
          <w:p w14:paraId="44B9FAA2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198A6317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7E26A97D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4AA40DC5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7A8DF98D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445B14C3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A6FD793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72D73851">
            <w:pPr>
              <w:pStyle w:val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24408BF5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14:paraId="089BB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</w:tcPr>
          <w:p w14:paraId="66716594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4EC2C0AD">
            <w:pPr>
              <w:pStyle w:val="2"/>
              <w:spacing w:before="0" w:beforeAutospacing="0" w:afterAutospacing="0"/>
              <w:ind w:left="0" w:leftChars="0" w:firstLine="0" w:firstLineChars="0"/>
              <w:jc w:val="left"/>
              <w:rPr>
                <w:rFonts w:eastAsiaTheme="minorHAnsi"/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«Укрепление общественного здоровья в Анучинском муниципальном округ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>е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на 2025-2029 годы»</w:t>
            </w:r>
            <w:r>
              <w:rPr>
                <w:b w:val="0"/>
                <w:bCs w:val="0"/>
                <w:sz w:val="20"/>
                <w:szCs w:val="20"/>
              </w:rPr>
              <w:t xml:space="preserve">, </w:t>
            </w:r>
            <w:r>
              <w:rPr>
                <w:rFonts w:eastAsiaTheme="minorHAnsi"/>
                <w:b w:val="0"/>
                <w:bCs w:val="0"/>
                <w:sz w:val="20"/>
                <w:szCs w:val="20"/>
              </w:rPr>
              <w:t>касающиеся внесения</w:t>
            </w:r>
          </w:p>
          <w:p w14:paraId="1C23AC34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06B246AD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1301B740">
            <w:pPr>
              <w:pStyle w:val="3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</w:rPr>
              <w:t>финансирования</w:t>
            </w:r>
          </w:p>
          <w:p w14:paraId="0CF9351C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14:paraId="04565E98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7987528E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293D4951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7DEFCBED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06911215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58B2F647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2E3BD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6DB2EB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619D6C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248D0EDE">
            <w:pPr>
              <w:pStyle w:val="31"/>
              <w:jc w:val="center"/>
              <w:rPr>
                <w:rFonts w:ascii="Times New Roman" w:hAnsi="Times New Roman" w:cs="Times New Roman" w:eastAsiaTheme="minorHAnsi"/>
              </w:rPr>
            </w:pPr>
            <w:r>
              <w:rPr>
                <w:rFonts w:ascii="Times New Roman" w:hAnsi="Times New Roman" w:cs="Times New Roman" w:eastAsiaTheme="minorHAnsi"/>
              </w:rPr>
              <w:t>принятыми муниципальными правовыми актами.</w:t>
            </w:r>
          </w:p>
          <w:p w14:paraId="292946BA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</w:tbl>
    <w:p w14:paraId="4D6C6096">
      <w:pPr>
        <w:pStyle w:val="3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19277DC">
      <w:pPr>
        <w:pStyle w:val="31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7FF891D5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E5FCC6F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2DB3BBB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7222365A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6DB281A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2C53C3C0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0E22C2AB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2F31497B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0E337924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2C11B03B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03F4A9A2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tbl>
      <w:tblPr>
        <w:tblStyle w:val="16"/>
        <w:tblpPr w:leftFromText="180" w:rightFromText="180" w:vertAnchor="text" w:horzAnchor="page" w:tblpXSpec="center" w:tblpY="423"/>
        <w:tblOverlap w:val="never"/>
        <w:tblW w:w="15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14:paraId="51B25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628824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7D4FAAC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776EF4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01644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38B396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14:paraId="6866D3B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0C4CE10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035F0D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0462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  <w:jc w:val="center"/>
        </w:trPr>
        <w:tc>
          <w:tcPr>
            <w:tcW w:w="520" w:type="dxa"/>
            <w:vMerge w:val="continue"/>
          </w:tcPr>
          <w:p w14:paraId="724AC38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699CB8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261CEB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 w:val="continue"/>
            <w:shd w:val="clear" w:color="auto" w:fill="FFFFFF" w:themeFill="background1"/>
          </w:tcPr>
          <w:p w14:paraId="5DBA474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7D6DE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023B441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6332D8F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7375EF2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468330C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4D4513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43F9C5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45C95D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567181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175F6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520" w:type="dxa"/>
            <w:vMerge w:val="restart"/>
          </w:tcPr>
          <w:p w14:paraId="76AE491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69BC0DAE">
            <w:pPr>
              <w:pStyle w:val="2"/>
              <w:spacing w:before="0" w:beforeAutospacing="0" w:afterAutospacing="0"/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«Укрепление общественного здоровья в Анучинском муниципальном округ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на 2025-2029 годы»</w:t>
            </w:r>
          </w:p>
          <w:p w14:paraId="1FCACBB8">
            <w:pPr>
              <w:spacing w:after="0" w:line="240" w:lineRule="auto"/>
              <w:ind w:firstLine="216" w:firstLineChars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D7955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5E32B4A3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F368F60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4B31D87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215A979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710FBB4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КГБУЗ "Анучинская ЦРБ"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536396FC">
            <w:pPr>
              <w:pStyle w:val="25"/>
              <w:widowControl/>
              <w:tabs>
                <w:tab w:val="left" w:pos="0"/>
                <w:tab w:val="left" w:pos="220"/>
              </w:tabs>
              <w:ind w:left="-42" w:leftChars="-19" w:firstLine="62" w:firstLineChars="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936" w:type="dxa"/>
            <w:shd w:val="clear" w:color="auto" w:fill="FFFFFF" w:themeFill="background1"/>
          </w:tcPr>
          <w:p w14:paraId="4E23A26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048268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F07EFB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4AB9D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69E9333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B04FD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60" w:type="dxa"/>
            <w:shd w:val="clear" w:color="auto" w:fill="FFFFFF" w:themeFill="background1"/>
          </w:tcPr>
          <w:p w14:paraId="7F51B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15" w:type="dxa"/>
            <w:shd w:val="clear" w:color="auto" w:fill="FFFFFF" w:themeFill="background1"/>
          </w:tcPr>
          <w:p w14:paraId="6E1BA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00" w:type="dxa"/>
          </w:tcPr>
          <w:p w14:paraId="6FB45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799" w:type="dxa"/>
          </w:tcPr>
          <w:p w14:paraId="2A3BF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14:paraId="4770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continue"/>
          </w:tcPr>
          <w:p w14:paraId="633635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76A9C07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0A36F26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5C5487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0DA309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557B78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728B9DF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C151EE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1E899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60" w:type="dxa"/>
            <w:shd w:val="clear" w:color="auto" w:fill="FFFFFF" w:themeFill="background1"/>
          </w:tcPr>
          <w:p w14:paraId="0B1F9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15" w:type="dxa"/>
            <w:shd w:val="clear" w:color="auto" w:fill="FFFFFF" w:themeFill="background1"/>
          </w:tcPr>
          <w:p w14:paraId="11F2F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00" w:type="dxa"/>
          </w:tcPr>
          <w:p w14:paraId="7B42B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799" w:type="dxa"/>
          </w:tcPr>
          <w:p w14:paraId="174685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14:paraId="3865C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320017B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  <w:vAlign w:val="top"/>
          </w:tcPr>
          <w:p w14:paraId="3563F59D">
            <w:pPr>
              <w:pStyle w:val="27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Проведение информационно - коммуникационной кампании</w:t>
            </w:r>
          </w:p>
          <w:p w14:paraId="27BD4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  <w:vAlign w:val="top"/>
          </w:tcPr>
          <w:p w14:paraId="4D9FCAE7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D2FBCAF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3A167FE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750643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043BAB32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КГБУЗ "Анучинская ЦРБ"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2BDB8A73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leftChars="0" w:firstLine="75" w:firstLineChars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936" w:type="dxa"/>
            <w:shd w:val="clear" w:color="auto" w:fill="FFFFFF" w:themeFill="background1"/>
          </w:tcPr>
          <w:p w14:paraId="1B85668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D9B8F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561BF9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223FC70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128134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61B810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7B9C8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17789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51FF2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04999E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14:paraId="71CF3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  <w:jc w:val="center"/>
        </w:trPr>
        <w:tc>
          <w:tcPr>
            <w:tcW w:w="520" w:type="dxa"/>
            <w:vMerge w:val="continue"/>
          </w:tcPr>
          <w:p w14:paraId="3AE999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6550C9D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24072A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49C536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3DBD7FC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3C320C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DF0D78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BA43A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5FBB9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7974F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5B4ECF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40FDF7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1015C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14:paraId="3DFA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4AC44AD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  <w:vAlign w:val="top"/>
          </w:tcPr>
          <w:p w14:paraId="3BE4A9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174C17">
            <w:pPr>
              <w:spacing w:after="0" w:line="240" w:lineRule="auto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6CE75A15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711A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vAlign w:val="top"/>
          </w:tcPr>
          <w:p w14:paraId="3D644F17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75D6040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D8CCF7B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1300D00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B70C920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КГБУЗ "Анучинская ЦРБ"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474AD137">
            <w:pPr>
              <w:numPr>
                <w:ilvl w:val="0"/>
                <w:numId w:val="0"/>
              </w:numPr>
              <w:tabs>
                <w:tab w:val="left" w:pos="75"/>
              </w:tabs>
              <w:spacing w:after="0" w:line="240" w:lineRule="auto"/>
              <w:ind w:left="75" w:leftChars="0" w:firstLine="0" w:firstLineChars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936" w:type="dxa"/>
          </w:tcPr>
          <w:p w14:paraId="3B3733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623DDA2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E1D00A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80BD1C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2632E2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25AD18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60" w:type="dxa"/>
          </w:tcPr>
          <w:p w14:paraId="25311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15" w:type="dxa"/>
          </w:tcPr>
          <w:p w14:paraId="50E25F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00" w:type="dxa"/>
          </w:tcPr>
          <w:p w14:paraId="5247D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799" w:type="dxa"/>
          </w:tcPr>
          <w:p w14:paraId="5667F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14:paraId="19DD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continue"/>
          </w:tcPr>
          <w:p w14:paraId="597A2BF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</w:tcPr>
          <w:p w14:paraId="7FD33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 w:val="continue"/>
          </w:tcPr>
          <w:p w14:paraId="3EE693B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21E6D0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ACAE91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8BFBE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A5BF86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3BF69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BD3B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60" w:type="dxa"/>
          </w:tcPr>
          <w:p w14:paraId="54E9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15" w:type="dxa"/>
          </w:tcPr>
          <w:p w14:paraId="74BCB6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00" w:type="dxa"/>
          </w:tcPr>
          <w:p w14:paraId="4B33C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799" w:type="dxa"/>
          </w:tcPr>
          <w:p w14:paraId="630FC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</w:tbl>
    <w:p w14:paraId="05D9183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F2354E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5B88CF5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33C8167E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057584AB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5444658B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0CD16A46">
      <w:pPr>
        <w:pStyle w:val="31"/>
        <w:rPr>
          <w:rFonts w:ascii="Times New Roman" w:hAnsi="Times New Roman" w:cs="Times New Roman"/>
          <w:sz w:val="28"/>
          <w:szCs w:val="28"/>
        </w:rPr>
      </w:pPr>
    </w:p>
    <w:p w14:paraId="1550FFDC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016AD8A7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0498BE41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3EB7CE17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379F21F6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14:paraId="23AEADFB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097B8E0C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40F02458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29D4C659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2EB7743F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0EA0202C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p w14:paraId="660EAD1D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</w:p>
    <w:p w14:paraId="65C0E6BA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15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14:paraId="4B11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1E60093B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14:paraId="397A6A19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61DB5DE4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104BEB3B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66E541BD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59EB956B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6A412F23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61B2387C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13358876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14:paraId="3FB0E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290333A6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2AB157E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14:paraId="5BBB7252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79D8E175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5FEF20B7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053B93D6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14:paraId="79CC2349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2B7DB56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14:paraId="5896D5D9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14:paraId="6DD2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222B31EB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4AEA7DDF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7CD67FB1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53938EC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7F21C07B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56037EC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1CED5A4B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63DD206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8C033F9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CC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2A362765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5FB26260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137D4945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403FFC0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7642D987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DAC7776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027BCD36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3227941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69B8AB8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A1D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4C9FAE4F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4D24FF29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370258AA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C357A9B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480C7D44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9FF6434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1017CE55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53132D8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DF124A2">
            <w:pPr>
              <w:pStyle w:val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716692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7402E35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A4C5B6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12F4365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14:paraId="291675DA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53AE9667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A473AAF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34D2EC98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6762E73E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p w14:paraId="2ED809CC">
      <w:pPr>
        <w:pStyle w:val="3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14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14:paraId="42B0D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4EEA549E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368754D7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42901E4D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62D75C08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14:paraId="1D06351C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47540A9B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r>
              <w:fldChar w:fldCharType="begin"/>
            </w:r>
            <w:r>
              <w:instrText xml:space="preserve"> HYPERLINK \l "P1238"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</w:p>
        </w:tc>
        <w:tc>
          <w:tcPr>
            <w:tcW w:w="3036" w:type="dxa"/>
          </w:tcPr>
          <w:p w14:paraId="5C0FC51E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r>
              <w:fldChar w:fldCharType="begin"/>
            </w:r>
            <w:r>
              <w:instrText xml:space="preserve"> HYPERLINK \l "P1239"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</w:p>
        </w:tc>
      </w:tr>
      <w:tr w14:paraId="7870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restart"/>
          </w:tcPr>
          <w:p w14:paraId="4698471B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58C7B906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04904496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728EC194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18F5FCA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4D2CD7C4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BA12E99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  <w:tr w14:paraId="61349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</w:tcPr>
          <w:p w14:paraId="264CD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</w:tcPr>
          <w:p w14:paraId="2D50F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7BBAB2DD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008A321C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36F8F5C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729297C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5BC7C26A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  <w:tr w14:paraId="56FD9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</w:tcPr>
          <w:p w14:paraId="03AC00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</w:tcPr>
          <w:p w14:paraId="78F46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75014343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543CE751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696A029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07BFED46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2E26BBEF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  <w:tr w14:paraId="6DAA5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</w:tcPr>
          <w:p w14:paraId="2D678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</w:tcPr>
          <w:p w14:paraId="07080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41C2A373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7AB157B7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E89C00D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0F69D209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8773239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  <w:tr w14:paraId="76BE7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</w:tcPr>
          <w:p w14:paraId="497EDA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</w:tcPr>
          <w:p w14:paraId="2BB95D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76B27860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2A010FEE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29DDE28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08FD690D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74A9270A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</w:tbl>
    <w:p w14:paraId="2A801AB2">
      <w:pPr>
        <w:pStyle w:val="31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14:paraId="70ED0E20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1C752FBC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</w:p>
    <w:p w14:paraId="6C4F0C7F">
      <w:pPr>
        <w:pStyle w:val="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</w:t>
      </w:r>
    </w:p>
    <w:p w14:paraId="6ECC9AAF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</w:p>
    <w:p w14:paraId="5F9282CC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59ED182F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4EE6BE55">
      <w:pPr>
        <w:pStyle w:val="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6EB58F1F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p w14:paraId="2A091E47">
      <w:pPr>
        <w:pStyle w:val="3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14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674"/>
        <w:gridCol w:w="2085"/>
        <w:gridCol w:w="2745"/>
        <w:gridCol w:w="3075"/>
        <w:gridCol w:w="3707"/>
      </w:tblGrid>
      <w:tr w14:paraId="4B48E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restart"/>
          </w:tcPr>
          <w:p w14:paraId="1A0D81AB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5AE148D0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3B7B139D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4728B606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324C5748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14:paraId="4EF01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continue"/>
          </w:tcPr>
          <w:p w14:paraId="101CCA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 w:val="continue"/>
          </w:tcPr>
          <w:p w14:paraId="3739F4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 w:val="continue"/>
          </w:tcPr>
          <w:p w14:paraId="2FA73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54B68ABB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4326717B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r>
              <w:fldChar w:fldCharType="begin"/>
            </w:r>
            <w:r>
              <w:instrText xml:space="preserve"> HYPERLINK \l "P1303"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</w:p>
        </w:tc>
        <w:tc>
          <w:tcPr>
            <w:tcW w:w="3707" w:type="dxa"/>
            <w:vMerge w:val="continue"/>
          </w:tcPr>
          <w:p w14:paraId="0D0F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0358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4863B472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0DE10362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6C2050CA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43C18D23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5EE18327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3D52C3C1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14:paraId="2FDAA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2C48EB7F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14:paraId="18515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62" w:hRule="atLeast"/>
        </w:trPr>
        <w:tc>
          <w:tcPr>
            <w:tcW w:w="454" w:type="dxa"/>
          </w:tcPr>
          <w:p w14:paraId="020490EE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1B6A11DF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22A35B48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7CEF844C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3718FB7D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276530D9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  <w:tr w14:paraId="207EF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4AFFD1EB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14:paraId="116E6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1D4E46BE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05FD8F03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DCAFE4B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56FD02C6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32F9A5BD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0C33C5D0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  <w:tr w14:paraId="5ADFE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6889077E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14:paraId="6E063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6BEA46CF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20F69C7D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320B4985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711BC9B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6ACEBED7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1A104ACA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  <w:tr w14:paraId="3AFF6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54413FDA">
            <w:pPr>
              <w:pStyle w:val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14:paraId="105FC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37ED150C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37F0BF8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83462EE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0F072ACE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273BECD7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1CA21F0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  <w:tr w14:paraId="363E3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13B9A737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14:paraId="0F42F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368A9FB3">
            <w:pPr>
              <w:pStyle w:val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5C2FA2AF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15F3A384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7AEFE4D6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34DA4A22">
            <w:pPr>
              <w:pStyle w:val="31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14F3415">
            <w:pPr>
              <w:pStyle w:val="31"/>
              <w:rPr>
                <w:rFonts w:ascii="Times New Roman" w:hAnsi="Times New Roman" w:cs="Times New Roman"/>
              </w:rPr>
            </w:pPr>
          </w:p>
        </w:tc>
      </w:tr>
    </w:tbl>
    <w:p w14:paraId="0F12AA40">
      <w:pPr>
        <w:pStyle w:val="31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1D5695E3">
      <w:pPr>
        <w:rPr>
          <w:rFonts w:ascii="Times New Roman" w:hAnsi="Times New Roman" w:cs="Times New Roman"/>
          <w:sz w:val="20"/>
          <w:szCs w:val="20"/>
        </w:rPr>
        <w:sectPr>
          <w:pgSz w:w="16838" w:h="11906" w:orient="landscape"/>
          <w:pgMar w:top="1134" w:right="850" w:bottom="1134" w:left="1417" w:header="708" w:footer="283" w:gutter="0"/>
          <w:cols w:space="708" w:num="1"/>
          <w:docGrid w:linePitch="360" w:charSpace="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C066F22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417" w:header="708" w:footer="28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Zen Hei Sharp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6F00E8"/>
    <w:multiLevelType w:val="singleLevel"/>
    <w:tmpl w:val="C66F00E8"/>
    <w:lvl w:ilvl="0" w:tentative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0C23A00"/>
    <w:multiLevelType w:val="multilevel"/>
    <w:tmpl w:val="00C23A00"/>
    <w:lvl w:ilvl="0" w:tentative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9743F"/>
    <w:rsid w:val="001F0DE8"/>
    <w:rsid w:val="002011E8"/>
    <w:rsid w:val="002373C3"/>
    <w:rsid w:val="0024367A"/>
    <w:rsid w:val="00245E16"/>
    <w:rsid w:val="002525B6"/>
    <w:rsid w:val="002570DC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15616"/>
    <w:rsid w:val="00320EF0"/>
    <w:rsid w:val="00357327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D50C7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5C58"/>
    <w:rsid w:val="008763DA"/>
    <w:rsid w:val="008A3579"/>
    <w:rsid w:val="008A529E"/>
    <w:rsid w:val="008B3BE5"/>
    <w:rsid w:val="008D0526"/>
    <w:rsid w:val="008D10CE"/>
    <w:rsid w:val="008E08DC"/>
    <w:rsid w:val="008E1808"/>
    <w:rsid w:val="0092469B"/>
    <w:rsid w:val="00941844"/>
    <w:rsid w:val="009A051F"/>
    <w:rsid w:val="009B6390"/>
    <w:rsid w:val="009D6B3C"/>
    <w:rsid w:val="009E4C49"/>
    <w:rsid w:val="009E5CFA"/>
    <w:rsid w:val="009E65CB"/>
    <w:rsid w:val="009F0871"/>
    <w:rsid w:val="009F5758"/>
    <w:rsid w:val="00A2474D"/>
    <w:rsid w:val="00A53A82"/>
    <w:rsid w:val="00A777D6"/>
    <w:rsid w:val="00A82BC2"/>
    <w:rsid w:val="00A8659E"/>
    <w:rsid w:val="00A97363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CF360C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0506D"/>
    <w:rsid w:val="00E1170A"/>
    <w:rsid w:val="00E51A42"/>
    <w:rsid w:val="00E56434"/>
    <w:rsid w:val="00E74026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683EF3"/>
    <w:rsid w:val="088D273F"/>
    <w:rsid w:val="0B703B38"/>
    <w:rsid w:val="0C1356E5"/>
    <w:rsid w:val="0C656F37"/>
    <w:rsid w:val="0F0B3EB4"/>
    <w:rsid w:val="0F19618D"/>
    <w:rsid w:val="0F5B68BD"/>
    <w:rsid w:val="11124698"/>
    <w:rsid w:val="11F03EFB"/>
    <w:rsid w:val="16171A97"/>
    <w:rsid w:val="170D4F7D"/>
    <w:rsid w:val="18DC0BD0"/>
    <w:rsid w:val="1B790399"/>
    <w:rsid w:val="1BD7170D"/>
    <w:rsid w:val="1FA10F18"/>
    <w:rsid w:val="1FB41657"/>
    <w:rsid w:val="20DD6158"/>
    <w:rsid w:val="212C4286"/>
    <w:rsid w:val="21E068D0"/>
    <w:rsid w:val="222D32FE"/>
    <w:rsid w:val="23516881"/>
    <w:rsid w:val="24CC643F"/>
    <w:rsid w:val="27DC275A"/>
    <w:rsid w:val="2DD124B0"/>
    <w:rsid w:val="2E8306D9"/>
    <w:rsid w:val="33510801"/>
    <w:rsid w:val="33C02347"/>
    <w:rsid w:val="36437761"/>
    <w:rsid w:val="36EF413E"/>
    <w:rsid w:val="38D963C7"/>
    <w:rsid w:val="3A5F63CC"/>
    <w:rsid w:val="3ACB722E"/>
    <w:rsid w:val="3AE04B58"/>
    <w:rsid w:val="3C025F3B"/>
    <w:rsid w:val="3C2A1695"/>
    <w:rsid w:val="3E9A57C0"/>
    <w:rsid w:val="401119E3"/>
    <w:rsid w:val="432F4983"/>
    <w:rsid w:val="45701487"/>
    <w:rsid w:val="45FD5985"/>
    <w:rsid w:val="47186201"/>
    <w:rsid w:val="48B3518A"/>
    <w:rsid w:val="4A612F32"/>
    <w:rsid w:val="4B205ACF"/>
    <w:rsid w:val="57FC3E13"/>
    <w:rsid w:val="5ABA195C"/>
    <w:rsid w:val="5B7B7638"/>
    <w:rsid w:val="5BDA48EC"/>
    <w:rsid w:val="635535E7"/>
    <w:rsid w:val="63C66705"/>
    <w:rsid w:val="64A04962"/>
    <w:rsid w:val="6CDA1AC6"/>
    <w:rsid w:val="71AD1C2E"/>
    <w:rsid w:val="73DE2426"/>
    <w:rsid w:val="741E20B6"/>
    <w:rsid w:val="77510282"/>
    <w:rsid w:val="7A8C3481"/>
    <w:rsid w:val="7AB74016"/>
    <w:rsid w:val="7B30128A"/>
    <w:rsid w:val="7B4F1D5B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5"/>
    <w:qFormat/>
    <w:uiPriority w:val="99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99"/>
    <w:rPr>
      <w:color w:val="0000FF"/>
      <w:u w:val="single"/>
    </w:rPr>
  </w:style>
  <w:style w:type="character" w:styleId="8">
    <w:name w:val="Strong"/>
    <w:basedOn w:val="5"/>
    <w:qFormat/>
    <w:uiPriority w:val="99"/>
    <w:rPr>
      <w:b/>
      <w:bCs/>
    </w:rPr>
  </w:style>
  <w:style w:type="paragraph" w:styleId="9">
    <w:name w:val="Balloon Text"/>
    <w:basedOn w:val="1"/>
    <w:link w:val="2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33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 Indent"/>
    <w:basedOn w:val="1"/>
    <w:link w:val="19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2">
    <w:name w:val="footer"/>
    <w:basedOn w:val="1"/>
    <w:link w:val="3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unhideWhenUsed/>
    <w:qFormat/>
    <w:uiPriority w:val="99"/>
    <w:pPr>
      <w:spacing w:before="240" w:after="240" w:line="240" w:lineRule="auto"/>
    </w:pPr>
    <w:rPr>
      <w:rFonts w:ascii="Times New Roman" w:hAnsi="Times New Roman" w:eastAsia="Times New Roman" w:cs="Times New Roman"/>
      <w:color w:val="222629"/>
      <w:sz w:val="24"/>
      <w:szCs w:val="24"/>
      <w:lang w:eastAsia="ru-RU"/>
    </w:rPr>
  </w:style>
  <w:style w:type="paragraph" w:styleId="14">
    <w:name w:val="Body Text Indent 2"/>
    <w:basedOn w:val="1"/>
    <w:link w:val="37"/>
    <w:semiHidden/>
    <w:qFormat/>
    <w:uiPriority w:val="99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">
    <w:name w:val="Subtitle"/>
    <w:basedOn w:val="1"/>
    <w:qFormat/>
    <w:uiPriority w:val="99"/>
    <w:pPr>
      <w:tabs>
        <w:tab w:val="left" w:pos="1701"/>
      </w:tabs>
      <w:spacing w:after="0" w:line="240" w:lineRule="auto"/>
    </w:pPr>
    <w:rPr>
      <w:rFonts w:ascii="Calibri" w:hAnsi="Calibri" w:eastAsia="Calibri" w:cs="Times New Roman"/>
      <w:sz w:val="23"/>
      <w:szCs w:val="20"/>
      <w:lang w:eastAsia="ru-RU"/>
    </w:rPr>
  </w:style>
  <w:style w:type="table" w:styleId="16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8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Основной текст с отступом Знак"/>
    <w:basedOn w:val="5"/>
    <w:link w:val="11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20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a0"/>
    <w:basedOn w:val="5"/>
    <w:qFormat/>
    <w:uiPriority w:val="0"/>
  </w:style>
  <w:style w:type="character" w:customStyle="1" w:styleId="22">
    <w:name w:val="spelle"/>
    <w:basedOn w:val="5"/>
    <w:qFormat/>
    <w:uiPriority w:val="0"/>
  </w:style>
  <w:style w:type="paragraph" w:customStyle="1" w:styleId="23">
    <w:name w:val="a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4">
    <w:name w:val="grame"/>
    <w:basedOn w:val="5"/>
    <w:qFormat/>
    <w:uiPriority w:val="0"/>
  </w:style>
  <w:style w:type="paragraph" w:customStyle="1" w:styleId="25">
    <w:name w:val="ConsPlusNonformat"/>
    <w:qFormat/>
    <w:uiPriority w:val="99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paragraph" w:customStyle="1" w:styleId="27">
    <w:name w:val="ConsPlusTitle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28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character" w:customStyle="1" w:styleId="29">
    <w:name w:val="Текст выноски Знак"/>
    <w:basedOn w:val="5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0">
    <w:name w:val="a"/>
    <w:basedOn w:val="5"/>
    <w:qFormat/>
    <w:uiPriority w:val="0"/>
  </w:style>
  <w:style w:type="paragraph" w:customStyle="1" w:styleId="31">
    <w:name w:val="ConsPlusNormal"/>
    <w:qFormat/>
    <w:uiPriority w:val="99"/>
    <w:pPr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paragraph" w:styleId="32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33">
    <w:name w:val="Верхний колонтитул Знак"/>
    <w:basedOn w:val="5"/>
    <w:link w:val="10"/>
    <w:qFormat/>
    <w:uiPriority w:val="0"/>
  </w:style>
  <w:style w:type="character" w:customStyle="1" w:styleId="34">
    <w:name w:val="Нижний колонтитул Знак"/>
    <w:basedOn w:val="5"/>
    <w:link w:val="12"/>
    <w:qFormat/>
    <w:uiPriority w:val="99"/>
  </w:style>
  <w:style w:type="character" w:customStyle="1" w:styleId="35">
    <w:name w:val="Заголовок 3 Знак"/>
    <w:basedOn w:val="5"/>
    <w:link w:val="4"/>
    <w:qFormat/>
    <w:uiPriority w:val="99"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customStyle="1" w:styleId="36">
    <w:name w:val="Заголовок 2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7">
    <w:name w:val="Основной текст с отступом 2 Знак"/>
    <w:basedOn w:val="5"/>
    <w:link w:val="1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38">
    <w:name w:val="Îñíîâíîé òåêñò 2"/>
    <w:basedOn w:val="1"/>
    <w:qFormat/>
    <w:uiPriority w:val="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4B6DF-9752-4762-96D8-3A1DF00889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23</Pages>
  <Words>4307</Words>
  <Characters>24553</Characters>
  <Lines>204</Lines>
  <Paragraphs>57</Paragraphs>
  <TotalTime>35</TotalTime>
  <ScaleCrop>false</ScaleCrop>
  <LinksUpToDate>false</LinksUpToDate>
  <CharactersWithSpaces>28803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2024-08-28T03:23:00Z</dcterms:created>
  <dc:creator>VedernikovaOV</dc:creator>
  <cp:lastModifiedBy>Fedchikova</cp:lastModifiedBy>
  <cp:lastPrinted>2024-09-10T05:12:07Z</cp:lastPrinted>
  <dcterms:modified xsi:type="dcterms:W3CDTF">2024-09-10T05:39:08Z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1A7875CB63224AE49D734BED8FBEC67A_13</vt:lpwstr>
  </property>
</Properties>
</file>