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>
          <w:color w:val="000000"/>
          <w:sz w:val="18"/>
        </w:rPr>
      </w:pPr>
      <w:r>
        <w:rPr/>
        <w:drawing>
          <wp:inline distT="0" distB="0" distL="0" distR="0">
            <wp:extent cx="638810" cy="904875"/>
            <wp:effectExtent l="0" t="0" r="0" b="0"/>
            <wp:docPr id="1" name="герб_02_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ерб_02_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6" r="-9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</w:r>
    </w:p>
    <w:p>
      <w:pPr>
        <w:pStyle w:val="2"/>
        <w:spacing w:lineRule="auto" w:line="240"/>
        <w:jc w:val="center"/>
        <w:rPr>
          <w:b/>
          <w:b/>
          <w:sz w:val="32"/>
        </w:rPr>
      </w:pPr>
      <w:r>
        <w:rPr>
          <w:b/>
          <w:sz w:val="32"/>
        </w:rPr>
        <w:t>АДМИНИСТРАЦИЯ</w:t>
      </w:r>
    </w:p>
    <w:p>
      <w:pPr>
        <w:pStyle w:val="2"/>
        <w:spacing w:lineRule="auto" w:line="240"/>
        <w:jc w:val="center"/>
        <w:rPr/>
      </w:pPr>
      <w:r>
        <w:rPr>
          <w:b/>
          <w:sz w:val="32"/>
        </w:rPr>
        <w:t>АНУЧИНСКОГО МУНИЦИПАЛЬНОГО  РАЙОНА</w:t>
      </w:r>
    </w:p>
    <w:p>
      <w:pPr>
        <w:pStyle w:val="2"/>
        <w:spacing w:lineRule="auto" w:line="240"/>
        <w:jc w:val="center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shd w:val="clear" w:fill="FFFFFF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 А С П О Р Я Ж Е Н И Е</w:t>
      </w:r>
    </w:p>
    <w:p>
      <w:pPr>
        <w:pStyle w:val="Normal"/>
        <w:shd w:val="clear" w:fill="FFFFFF"/>
        <w:tabs>
          <w:tab w:val="clear" w:pos="709"/>
          <w:tab w:val="left" w:pos="5151" w:leader="none"/>
        </w:tabs>
        <w:jc w:val="center"/>
        <w:rPr>
          <w:rFonts w:cs="Times New Roman"/>
          <w:color w:val="000000"/>
          <w:sz w:val="16"/>
          <w:szCs w:val="28"/>
        </w:rPr>
      </w:pPr>
      <w:r>
        <w:rPr>
          <w:rFonts w:cs="Times New Roman"/>
          <w:color w:val="000000"/>
          <w:sz w:val="16"/>
          <w:szCs w:val="28"/>
        </w:rPr>
      </w:r>
    </w:p>
    <w:p>
      <w:pPr>
        <w:pStyle w:val="Normal"/>
        <w:shd w:val="clear" w:fill="FFFFFF"/>
        <w:tabs>
          <w:tab w:val="clear" w:pos="709"/>
          <w:tab w:val="left" w:pos="5151" w:leader="none"/>
        </w:tabs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</w:r>
    </w:p>
    <w:p>
      <w:pPr>
        <w:pStyle w:val="Normal"/>
        <w:shd w:val="clear" w:fill="FFFFFF"/>
        <w:ind w:left="0" w:right="-283" w:hanging="0"/>
        <w:rPr/>
      </w:pPr>
      <w:r>
        <w:rPr>
          <w:rFonts w:cs="Times New Roman"/>
          <w:color w:val="000000"/>
          <w:sz w:val="28"/>
          <w:szCs w:val="28"/>
        </w:rPr>
        <w:t>10</w:t>
      </w:r>
      <w:r>
        <w:rPr>
          <w:rFonts w:cs="Times New Roman"/>
          <w:color w:val="000000"/>
          <w:sz w:val="28"/>
          <w:szCs w:val="28"/>
        </w:rPr>
        <w:t>.</w:t>
      </w:r>
      <w:r>
        <w:rPr>
          <w:rFonts w:cs="Times New Roman"/>
          <w:color w:val="000000"/>
          <w:sz w:val="28"/>
          <w:szCs w:val="28"/>
        </w:rPr>
        <w:t>03</w:t>
      </w:r>
      <w:r>
        <w:rPr>
          <w:rFonts w:cs="Times New Roman"/>
          <w:color w:val="000000"/>
          <w:sz w:val="28"/>
          <w:szCs w:val="28"/>
        </w:rPr>
        <w:t>.</w:t>
      </w:r>
      <w:r>
        <w:rPr>
          <w:rFonts w:cs="Times New Roman"/>
          <w:color w:val="000000"/>
          <w:sz w:val="28"/>
          <w:szCs w:val="28"/>
        </w:rPr>
        <w:t>2020</w:t>
      </w:r>
      <w:r>
        <w:rPr>
          <w:rFonts w:cs="Times New Roman"/>
          <w:color w:val="000000"/>
          <w:sz w:val="28"/>
          <w:szCs w:val="28"/>
        </w:rPr>
        <w:t xml:space="preserve">г.                                     с. Анучино                                 №    </w:t>
      </w:r>
      <w:r>
        <w:rPr>
          <w:rFonts w:cs="Times New Roman"/>
          <w:color w:val="000000"/>
          <w:sz w:val="28"/>
          <w:szCs w:val="28"/>
        </w:rPr>
        <w:t>163-ра</w:t>
      </w:r>
    </w:p>
    <w:p>
      <w:pPr>
        <w:pStyle w:val="Normal"/>
        <w:rPr>
          <w:rFonts w:cs="Times New Roman"/>
          <w:color w:val="000000"/>
          <w:sz w:val="28"/>
          <w:szCs w:val="28"/>
          <w:u w:val="single"/>
        </w:rPr>
      </w:pPr>
      <w:r>
        <w:rPr>
          <w:rFonts w:cs="Times New Roman"/>
          <w:color w:val="000000"/>
          <w:sz w:val="28"/>
          <w:szCs w:val="28"/>
          <w:u w:val="single"/>
        </w:rPr>
      </w:r>
    </w:p>
    <w:p>
      <w:pPr>
        <w:pStyle w:val="Norma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firstLine="709"/>
        <w:jc w:val="center"/>
        <w:rPr/>
      </w:pPr>
      <w:r>
        <w:rPr>
          <w:rFonts w:cs="Times New Roman" w:ascii="Tinos" w:hAnsi="Tinos"/>
          <w:b/>
          <w:sz w:val="28"/>
          <w:szCs w:val="28"/>
        </w:rPr>
        <w:t xml:space="preserve">О внесении изменений в  </w:t>
      </w:r>
      <w:r>
        <w:rPr>
          <w:rFonts w:cs="Times New Roman" w:ascii="Tinos" w:hAnsi="Tinos"/>
          <w:b/>
          <w:sz w:val="28"/>
          <w:szCs w:val="28"/>
        </w:rPr>
        <w:t>муниципальную программу</w:t>
      </w:r>
      <w:r>
        <w:rPr>
          <w:rFonts w:cs="Times New Roman" w:ascii="Tinos" w:hAnsi="Tinos"/>
          <w:b/>
          <w:sz w:val="28"/>
          <w:szCs w:val="28"/>
        </w:rPr>
        <w:t xml:space="preserve"> «Профилактика </w:t>
      </w:r>
      <w:r>
        <w:rPr>
          <w:rFonts w:eastAsia="Times New Roman" w:cs="Times New Roman" w:ascii="Tinos" w:hAnsi="Tinos"/>
          <w:b/>
          <w:kern w:val="0"/>
          <w:sz w:val="28"/>
          <w:szCs w:val="28"/>
          <w:lang w:eastAsia="ru-RU" w:bidi="ar-SA"/>
        </w:rPr>
        <w:t xml:space="preserve">  нарушений обязательных требований юридическими  лицами и индивидуальными предпринимателями  на </w:t>
      </w:r>
      <w:r>
        <w:rPr>
          <w:rFonts w:cs="Times New Roman" w:ascii="Tinos" w:hAnsi="Tinos"/>
          <w:b/>
          <w:sz w:val="28"/>
          <w:szCs w:val="28"/>
        </w:rPr>
        <w:t xml:space="preserve">2020 год» </w:t>
      </w:r>
      <w:r>
        <w:rPr>
          <w:rFonts w:cs="Times New Roman" w:ascii="Tinos" w:hAnsi="Tinos"/>
          <w:b/>
          <w:sz w:val="28"/>
          <w:szCs w:val="28"/>
        </w:rPr>
        <w:t>утвержденн</w:t>
      </w:r>
      <w:r>
        <w:rPr>
          <w:rFonts w:cs="Times New Roman" w:ascii="Tinos" w:hAnsi="Tinos"/>
          <w:b/>
          <w:sz w:val="28"/>
          <w:szCs w:val="28"/>
        </w:rPr>
        <w:t xml:space="preserve">ую </w:t>
      </w:r>
      <w:r>
        <w:rPr>
          <w:rFonts w:cs="Times New Roman" w:ascii="Tinos" w:hAnsi="Tinos"/>
          <w:b/>
          <w:sz w:val="28"/>
          <w:szCs w:val="28"/>
        </w:rPr>
        <w:t>распоряжением Администрации Анучинского  муниципального района от 12.08.2019 № 296-ра</w:t>
      </w:r>
    </w:p>
    <w:p>
      <w:pPr>
        <w:pStyle w:val="Normal"/>
        <w:jc w:val="center"/>
        <w:rPr>
          <w:rFonts w:ascii="Tinos" w:hAnsi="Tinos" w:cs="Times New Roman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nos" w:hAnsi="Tinos"/>
          <w:sz w:val="28"/>
          <w:szCs w:val="28"/>
        </w:rPr>
        <w:tab/>
        <w:t>В соответствии с Федеральным законом 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постановлением Правительства РФ от 26.12.2018 №1680, руководствуясь  Уставом Анучинского  муниципального района, администрация района.</w:t>
      </w:r>
    </w:p>
    <w:p>
      <w:pPr>
        <w:pStyle w:val="Style15"/>
        <w:spacing w:lineRule="auto" w:line="360" w:before="0" w:after="26"/>
        <w:jc w:val="both"/>
        <w:rPr/>
      </w:pPr>
      <w:r>
        <w:rPr>
          <w:rFonts w:ascii="Tinos" w:hAnsi="Tinos"/>
          <w:sz w:val="28"/>
          <w:szCs w:val="28"/>
        </w:rPr>
        <w:t xml:space="preserve">1. Внести </w:t>
      </w:r>
      <w:r>
        <w:rPr>
          <w:rFonts w:ascii="Tinos" w:hAnsi="Tinos"/>
          <w:sz w:val="28"/>
          <w:szCs w:val="28"/>
        </w:rPr>
        <w:t>в</w:t>
      </w:r>
      <w:r>
        <w:rPr>
          <w:rFonts w:ascii="Tinos" w:hAnsi="Tinos"/>
          <w:sz w:val="28"/>
          <w:szCs w:val="28"/>
        </w:rPr>
        <w:t xml:space="preserve">  муниципальн</w:t>
      </w:r>
      <w:r>
        <w:rPr>
          <w:rFonts w:ascii="Tinos" w:hAnsi="Tinos"/>
          <w:sz w:val="28"/>
          <w:szCs w:val="28"/>
        </w:rPr>
        <w:t>у</w:t>
      </w:r>
      <w:r>
        <w:rPr>
          <w:rFonts w:ascii="Tinos" w:hAnsi="Tinos"/>
          <w:sz w:val="28"/>
          <w:szCs w:val="28"/>
        </w:rPr>
        <w:t xml:space="preserve"> </w:t>
      </w:r>
      <w:r>
        <w:fldChar w:fldCharType="begin"/>
      </w:r>
      <w:r>
        <w:rPr>
          <w:rStyle w:val="Style13"/>
          <w:sz w:val="28"/>
          <w:szCs w:val="28"/>
          <w:rFonts w:ascii="Tinos" w:hAnsi="Tinos"/>
        </w:rPr>
        <w:instrText> HYPERLINK "http://admknyaginino.ru/o-vnesenii-izmenenij-v-programmu-profilaktiki-narushenij-obyazatelnykh-trebovanij-po-preduprezhdeniyu-narushenij-yuridicheskimi-licami-i-individualnymi-predprinimatelyami-obyazatelnykh-trebovanij-ocenka-soblyudeniya-kotorykh-yavlyaetsya-predmetom/" \l "Par28"</w:instrText>
      </w:r>
      <w:r>
        <w:rPr>
          <w:rStyle w:val="Style13"/>
          <w:sz w:val="28"/>
          <w:szCs w:val="28"/>
          <w:rFonts w:ascii="Tinos" w:hAnsi="Tinos"/>
        </w:rPr>
        <w:fldChar w:fldCharType="separate"/>
      </w:r>
      <w:r>
        <w:rPr>
          <w:rStyle w:val="Style13"/>
          <w:rFonts w:ascii="Tinos" w:hAnsi="Tinos"/>
          <w:color w:val="000000"/>
          <w:sz w:val="28"/>
          <w:szCs w:val="28"/>
        </w:rPr>
        <w:t>п</w:t>
      </w:r>
      <w:r>
        <w:rPr>
          <w:rStyle w:val="Style13"/>
          <w:sz w:val="28"/>
          <w:szCs w:val="28"/>
          <w:rFonts w:ascii="Tinos" w:hAnsi="Tinos"/>
        </w:rPr>
        <w:fldChar w:fldCharType="end"/>
      </w:r>
      <w:r>
        <w:rPr>
          <w:rFonts w:ascii="Tinos" w:hAnsi="Tinos"/>
          <w:sz w:val="28"/>
          <w:szCs w:val="28"/>
        </w:rPr>
        <w:t>рограмм</w:t>
      </w:r>
      <w:r>
        <w:rPr>
          <w:rFonts w:ascii="Tinos" w:hAnsi="Tinos"/>
          <w:sz w:val="28"/>
          <w:szCs w:val="28"/>
        </w:rPr>
        <w:t>у</w:t>
      </w:r>
      <w:r>
        <w:rPr>
          <w:rFonts w:ascii="Tinos" w:hAnsi="Tinos"/>
          <w:sz w:val="28"/>
          <w:szCs w:val="28"/>
        </w:rPr>
        <w:t xml:space="preserve"> </w:t>
      </w:r>
      <w:r>
        <w:rPr>
          <w:rFonts w:cs="Times New Roman" w:ascii="Tinos" w:hAnsi="Tinos"/>
          <w:b w:val="false"/>
          <w:bCs w:val="false"/>
          <w:sz w:val="28"/>
          <w:szCs w:val="28"/>
          <w:u w:val="none"/>
        </w:rPr>
        <w:t xml:space="preserve">«Профилактика </w:t>
      </w:r>
      <w:r>
        <w:rPr>
          <w:rFonts w:eastAsia="Times New Roman" w:cs="Times New Roman" w:ascii="Tinos" w:hAnsi="Tinos"/>
          <w:b w:val="false"/>
          <w:bCs w:val="false"/>
          <w:kern w:val="0"/>
          <w:sz w:val="28"/>
          <w:szCs w:val="28"/>
          <w:u w:val="none"/>
          <w:lang w:eastAsia="ru-RU" w:bidi="ar-SA"/>
        </w:rPr>
        <w:t xml:space="preserve">  нарушений обязательных требований юридическими лицами и индивидуальными предпринимателями на </w:t>
      </w:r>
      <w:r>
        <w:rPr>
          <w:rFonts w:cs="Times New Roman" w:ascii="Tinos" w:hAnsi="Tinos"/>
          <w:b w:val="false"/>
          <w:bCs w:val="false"/>
          <w:sz w:val="28"/>
          <w:szCs w:val="28"/>
          <w:u w:val="none"/>
        </w:rPr>
        <w:t>2020 год»</w:t>
      </w:r>
      <w:r>
        <w:rPr>
          <w:rFonts w:ascii="Tinos" w:hAnsi="Tinos"/>
          <w:sz w:val="28"/>
          <w:szCs w:val="28"/>
        </w:rPr>
        <w:t xml:space="preserve">, следующие </w:t>
      </w:r>
      <w:r>
        <w:rPr>
          <w:rFonts w:ascii="Tinos" w:hAnsi="Tinos"/>
          <w:sz w:val="28"/>
          <w:szCs w:val="28"/>
        </w:rPr>
        <w:t>изменения:</w:t>
      </w:r>
    </w:p>
    <w:p>
      <w:pPr>
        <w:pStyle w:val="Style15"/>
        <w:spacing w:lineRule="auto" w:line="360" w:before="0" w:after="26"/>
        <w:jc w:val="both"/>
        <w:rPr/>
      </w:pPr>
      <w:r>
        <w:rPr>
          <w:rFonts w:ascii="Tinos" w:hAnsi="Tinos"/>
          <w:sz w:val="28"/>
          <w:szCs w:val="28"/>
        </w:rPr>
        <w:t>после слов «раздел 1» (до слов «паспорт программы») дополнить пунктом «Общие положения» следующего содержания:</w:t>
      </w:r>
    </w:p>
    <w:p>
      <w:pPr>
        <w:pStyle w:val="Style15"/>
        <w:spacing w:lineRule="auto" w:line="360" w:before="0" w:after="26"/>
        <w:jc w:val="both"/>
        <w:rPr/>
      </w:pPr>
      <w:r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>«Общие положения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1.1. Настоящая Программа разработана в целях проведения администрацией Анучинского муниципального района профилактических мероприятий, направленных на предупреждение нарушения обязательных требований, установленных федеральными законами и иными нормативными правовыми актами Российской Федерации, определения видов и форм профилактических мероприятий и системы мониторинга, оценки эффективности и результативности данных мероприятий при осуществлении муниципального земельного контроля.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1.2. Для целей настоящей Программы используются следующие основные термины и определения: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Профилактическое мероприятие – мероприятие, проводимое отделом  имущественных и земельных отношений администрации Анучинского муниципального района  в целях предупреждения возможного нарушения юридическими лицами и индивидуальными предпринимателями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>
      <w:pPr>
        <w:pStyle w:val="Style15"/>
        <w:spacing w:lineRule="auto" w:line="360" w:before="0" w:after="140"/>
        <w:ind w:left="57" w:right="0" w:hanging="0"/>
        <w:jc w:val="both"/>
        <w:rPr/>
      </w:pPr>
      <w:r>
        <w:rPr>
          <w:rFonts w:ascii="Tinos" w:hAnsi="Tinos"/>
          <w:sz w:val="28"/>
          <w:szCs w:val="28"/>
        </w:rPr>
        <w:t>- отсутствие принуждения и рекомендательный характер мероприятий для подконтрольных субъектов;</w:t>
      </w:r>
    </w:p>
    <w:p>
      <w:pPr>
        <w:pStyle w:val="Style15"/>
        <w:spacing w:lineRule="auto" w:line="360" w:before="0" w:after="140"/>
        <w:ind w:left="57" w:right="0" w:hanging="0"/>
        <w:jc w:val="both"/>
        <w:rPr/>
      </w:pPr>
      <w:r>
        <w:rPr>
          <w:rFonts w:ascii="Tinos" w:hAnsi="Tinos"/>
          <w:sz w:val="28"/>
          <w:szCs w:val="28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>
      <w:pPr>
        <w:pStyle w:val="Style15"/>
        <w:spacing w:lineRule="auto" w:line="360" w:before="0" w:after="140"/>
        <w:ind w:left="57" w:right="0" w:hanging="0"/>
        <w:jc w:val="both"/>
        <w:rPr/>
      </w:pPr>
      <w:r>
        <w:rPr>
          <w:rFonts w:ascii="Tinos" w:hAnsi="Tinos"/>
          <w:sz w:val="28"/>
          <w:szCs w:val="28"/>
        </w:rPr>
        <w:t>- направленность на выявление причин и факторов несоблюдения обязательных требований;</w:t>
      </w:r>
    </w:p>
    <w:p>
      <w:pPr>
        <w:pStyle w:val="Style15"/>
        <w:spacing w:lineRule="auto" w:line="360" w:before="0" w:after="140"/>
        <w:ind w:left="57" w:right="0" w:hanging="0"/>
        <w:jc w:val="both"/>
        <w:rPr/>
      </w:pPr>
      <w:r>
        <w:rPr>
          <w:rFonts w:ascii="Tinos" w:hAnsi="Tinos"/>
          <w:sz w:val="28"/>
          <w:szCs w:val="28"/>
        </w:rPr>
        <w:t>- отсутствие организационной связи с мероприятиями по контролю.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Обязательные требования – требования к деятельности подконтрольных субъектов, к их персоналу, а также к выполняемой ими работе, имеющие обязательный характер и установленные международными договорами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и нормативными документами федеральных органов исполнительной власти,  а также иными нормативными актами.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Охраняемые законом ценности – жизнь и здоровье граждан, права, свободы и законные интересы граждан и организаций, их имущество, сохранность животных, растений, иных объектов окружающей среды, объектов, имеющих историческое, научное, культурное значение, поддержание общественной нравственности, обеспечение установленного порядка, осуществление государственного управления и местного самоуправления, обеспечение обороны страны и безопасности государства, стабильности финансового сектора, единства экономического пространства, свободное перемещение товаров, услуг и финансовых средств, поддержка конкуренции, свобода экономической деятельности.</w:t>
      </w:r>
    </w:p>
    <w:p>
      <w:pPr>
        <w:pStyle w:val="Style15"/>
        <w:spacing w:lineRule="auto" w:line="360"/>
        <w:jc w:val="both"/>
        <w:rPr/>
      </w:pPr>
      <w:r>
        <w:rPr>
          <w:rFonts w:ascii="Tinos" w:hAnsi="Tinos"/>
          <w:sz w:val="28"/>
          <w:szCs w:val="28"/>
        </w:rPr>
        <w:t>Подконтрольная сфера – состояние охраняемых законом ценностей в соответствующей сфере регулирования.</w:t>
      </w:r>
    </w:p>
    <w:p>
      <w:pPr>
        <w:pStyle w:val="Style15"/>
        <w:spacing w:lineRule="auto" w:line="360" w:before="0" w:after="140"/>
        <w:jc w:val="both"/>
        <w:rPr/>
      </w:pPr>
      <w:r>
        <w:rPr>
          <w:rFonts w:cs="Times New Roman" w:ascii="Tinos" w:hAnsi="Tinos"/>
          <w:sz w:val="28"/>
          <w:szCs w:val="28"/>
        </w:rPr>
        <w:t>Подконтрольные субъекты – юридические лица и индивидуальные предприниматели, включенные в государственный реестр юридических лиц».</w:t>
      </w:r>
    </w:p>
    <w:p>
      <w:pPr>
        <w:pStyle w:val="Style15"/>
        <w:spacing w:lineRule="auto" w:line="360" w:before="0" w:after="26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ab/>
        <w:t>2. Настоящее распоряжение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nos" w:hAnsi="Tinos"/>
          <w:sz w:val="28"/>
          <w:szCs w:val="28"/>
        </w:rPr>
        <w:tab/>
        <w:t>3. Контроль над исполнением настоящего распоряжения возложить на  заместителя главы администрации Анучинского муниципального района Дубовцева И.В.</w:t>
      </w:r>
    </w:p>
    <w:p>
      <w:pPr>
        <w:pStyle w:val="Style15"/>
        <w:spacing w:lineRule="auto" w:line="36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 </w:t>
      </w:r>
    </w:p>
    <w:p>
      <w:pPr>
        <w:pStyle w:val="Style15"/>
        <w:spacing w:lineRule="auto" w:line="24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 </w:t>
      </w:r>
    </w:p>
    <w:p>
      <w:pPr>
        <w:pStyle w:val="Style15"/>
        <w:spacing w:lineRule="auto" w:line="240" w:before="0" w:after="0"/>
        <w:rPr/>
      </w:pPr>
      <w:r>
        <w:rPr>
          <w:rFonts w:ascii="Tinos" w:hAnsi="Tinos"/>
          <w:sz w:val="28"/>
          <w:szCs w:val="28"/>
        </w:rPr>
        <w:t xml:space="preserve">Глава Анучинского </w:t>
      </w:r>
    </w:p>
    <w:p>
      <w:pPr>
        <w:pStyle w:val="Style15"/>
        <w:spacing w:lineRule="auto" w:line="240" w:before="0" w:after="0"/>
        <w:rPr/>
      </w:pPr>
      <w:r>
        <w:rPr>
          <w:rFonts w:ascii="Tinos" w:hAnsi="Tinos"/>
          <w:sz w:val="28"/>
          <w:szCs w:val="28"/>
        </w:rPr>
        <w:t>муниципального района                                                            С.А. Понуровский</w:t>
      </w:r>
    </w:p>
    <w:p>
      <w:pPr>
        <w:pStyle w:val="Normal"/>
        <w:spacing w:lineRule="auto" w:line="24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710" w:right="896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Tino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4">
    <w:name w:val="Heading 4"/>
    <w:basedOn w:val="Style14"/>
    <w:next w:val="Style15"/>
    <w:qFormat/>
    <w:pPr>
      <w:spacing w:before="120" w:after="120"/>
      <w:outlineLvl w:val="3"/>
    </w:pPr>
    <w:rPr>
      <w:rFonts w:ascii="Liberation Serif" w:hAnsi="Liberation Serif" w:eastAsia="Droid Sans Fallback" w:cs="Droid Sans Devanagari"/>
      <w:b/>
      <w:bCs/>
      <w:sz w:val="24"/>
      <w:szCs w:val="24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nos" w:hAnsi="Tinos"/>
      <w:color w:val="000000"/>
      <w:sz w:val="28"/>
      <w:szCs w:val="28"/>
    </w:rPr>
  </w:style>
  <w:style w:type="character" w:styleId="ListLabel2">
    <w:name w:val="ListLabel 2"/>
    <w:qFormat/>
    <w:rPr>
      <w:rFonts w:ascii="Tinos" w:hAnsi="Tinos"/>
      <w:color w:val="000000"/>
      <w:sz w:val="28"/>
      <w:szCs w:val="2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2">
    <w:name w:val="Основной текст 2"/>
    <w:basedOn w:val="Normal"/>
    <w:qFormat/>
    <w:pPr>
      <w:spacing w:lineRule="auto" w:line="480" w:before="0" w:after="120"/>
    </w:pPr>
    <w:rPr>
      <w:rFonts w:cs="Mangal"/>
      <w:szCs w:val="21"/>
    </w:rPr>
  </w:style>
  <w:style w:type="paragraph" w:styleId="ConsPlusTitle">
    <w:name w:val="ConsPlusTitle"/>
    <w:qFormat/>
    <w:pPr>
      <w:widowControl w:val="false"/>
      <w:bidi w:val="0"/>
      <w:jc w:val="left"/>
    </w:pPr>
    <w:rPr>
      <w:rFonts w:ascii="Calibri" w:hAnsi="Calibri" w:eastAsia="Times New Roman" w:cs="Calibri"/>
      <w:b/>
      <w:color w:val="auto"/>
      <w:kern w:val="2"/>
      <w:sz w:val="22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LibreOffice/6.2.8.2$Linux_X86_64 LibreOffice_project/20$Build-2</Application>
  <Pages>4</Pages>
  <Words>460</Words>
  <Characters>3793</Characters>
  <CharactersWithSpaces>4382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2020-03-20T09:39:10Z</dcterms:created>
  <dc:creator/>
  <dc:description/>
  <dc:language>ru-RU</dc:language>
  <cp:lastModifiedBy/>
  <cp:lastPrinted>2020-03-20T11:38:19Z</cp:lastPrinted>
  <dcterms:modified xsi:type="dcterms:W3CDTF">2020-03-20T11:44:27Z</dcterms:modified>
  <cp:revision>3</cp:revision>
  <dc:subject/>
  <dc:title/>
</cp:coreProperties>
</file>