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428AC">
      <w:pPr>
        <w:shd w:val="clear" w:color="auto" w:fill="FFFFFF"/>
        <w:spacing w:line="302" w:lineRule="atLeast"/>
        <w:ind w:firstLine="709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ar-SA"/>
        </w:rPr>
      </w:pPr>
      <w:bookmarkStart w:id="0" w:name="_GoBack"/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>Перечень индикаторов риска нарушения обязательных требований, используемых для осуществления муниципального жилищного контроля, и порядок их выявления</w:t>
      </w:r>
    </w:p>
    <w:bookmarkEnd w:id="0"/>
    <w:p w14:paraId="1CEC5BA5">
      <w:pPr>
        <w:shd w:val="clear" w:color="auto" w:fill="FFFFFF"/>
        <w:spacing w:line="322" w:lineRule="atLeast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 </w:t>
      </w:r>
    </w:p>
    <w:p w14:paraId="4D4099D8">
      <w:pPr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1. Перечень индикаторов риска нарушения обязательных требований, используемых для осуществления муниципального жилищного контроля:</w:t>
      </w:r>
    </w:p>
    <w:p w14:paraId="0BE605DC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>1) 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органа государственного жилищного надзора, органа муниципального жилищного контроля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«Интернет», государственных информационных систем о фактах нарушений контролируемыми лицами обязательных требований, установленных частью 1 статьи 20 Жилищного кодекса Российской Федерации;</w:t>
      </w:r>
    </w:p>
    <w:p w14:paraId="165CB0DB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>2) отсутствие в течение 3 и более месяцев в отношении объектов муниципального жилищного фонда или многоквартирных домов, в которых имеются жилые помещения муниципального жилищного фонда, актуализации информации, подлежащей размещению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соответствии с частью 5 статьи 165 Жилищного кодекса Российской Федерации;</w:t>
      </w:r>
    </w:p>
    <w:p w14:paraId="439FCBA6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>3) поступление в орган муниципального жилищного контроля в течение 3 месяцев подряд 2 и более протоколов общего собрания собственников помещений в многоквартирном доме, в котором есть жилые помещения муниципального жилищного фонда, содержащих решения по аналогичным вопросам повестки дня;</w:t>
      </w:r>
    </w:p>
    <w:p w14:paraId="431AFBFC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>4) 5 и более фактов ложных срабатываний систем противопожарной сигнализации и противодымной защиты в оснащенном указанными системами конкретном многоквартирном доме, находящемся в управлении отдельно взятого объединения собственников жилья, в течение 6 месяцев, сведения о которых поступили из уполномоченных органов государственной власти;</w:t>
      </w:r>
    </w:p>
    <w:p w14:paraId="4FF0DAB1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>5) выявление в платежных документах на оплату жилищно-коммунальных услуг, размещенных в государственной информационной системе жилищно-коммунального хозяйства, сведений об увеличении размера платы за коммунальные ресурсы, потребляемые при использовании и содержании общего имущества собственников помещений многоквартирного дома, более чем на 50% по сравнению с предыдущим аналогичным расчетным периодом.</w:t>
      </w:r>
    </w:p>
    <w:p w14:paraId="0E9DDE8E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>2. Порядок выявления индикаторов риска нарушения обязательных требований включает в себя сбор, обработку, анализ, учет и систематизацию сведений об объектах муниципального контроля, имеющихся у уполномоченного органа и полученных без взаимодействия с этими лицами.</w:t>
      </w:r>
    </w:p>
    <w:p w14:paraId="537E1177">
      <w:pPr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ar-SA"/>
        </w:rPr>
        <w:t>Уполномоченный орган в целях выявления индикаторов риска нарушения обязательных требований использует сведения об объектах муниципального контроля, полученные из любых источников, обеспечивающих их достоверность, в том числе в ходе проведения профилактических мероприятий, из обращений юридических и физических лиц, систем межведомственного информационного взаимодействия, иных информационных систем.</w:t>
      </w:r>
    </w:p>
    <w:p w14:paraId="291B7A65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391589"/>
    <w:rsid w:val="1539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2025-07-04T02:33:00Z</dcterms:created>
  <dc:creator>MehovskiyVV</dc:creator>
  <cp:lastModifiedBy>MehovskiyVV</cp:lastModifiedBy>
  <dcterms:modified xsi:type="dcterms:W3CDTF">2025-07-04T02:34:21Z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3B1E9B943A504DB9A2A91D8DCBFAE1B4_11</vt:lpwstr>
  </property>
</Properties>
</file>