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jc w:val="center"/>
        <w:rPr>
          <w:rFonts w:ascii="Times New Roman" w:hAnsi="Times New Roman"/>
          <w:b/>
          <w:sz w:val="28"/>
          <w:szCs w:val="28"/>
        </w:rPr>
      </w:pPr>
      <w:r>
        <w:rPr>
          <w:rFonts w:ascii="Times New Roman" w:hAnsi="Times New Roman"/>
          <w:b/>
          <w:sz w:val="28"/>
          <w:szCs w:val="28"/>
        </w:rPr>
        <w:t>МЕТОДИЧЕСКИЕ РЕКОМЕНДАЦИИ</w:t>
      </w:r>
    </w:p>
    <w:p>
      <w:pPr>
        <w:pStyle w:val="Normal"/>
        <w:ind w:hanging="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pPr>
        <w:pStyle w:val="Normal"/>
        <w:ind w:hanging="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pPr>
        <w:pStyle w:val="Normal"/>
        <w:ind w:hanging="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pPr>
        <w:pStyle w:val="Normal"/>
        <w:ind w:hanging="0"/>
        <w:jc w:val="center"/>
        <w:rPr>
          <w:b/>
          <w:bCs/>
        </w:rPr>
      </w:pPr>
      <w:r>
        <w:rPr>
          <w:rFonts w:ascii="Times New Roman" w:hAnsi="Times New Roman"/>
          <w:b/>
          <w:bCs/>
          <w:sz w:val="28"/>
          <w:szCs w:val="28"/>
        </w:rPr>
        <w:t>в 2024 году (за отчетный 2023 год)</w:t>
      </w:r>
    </w:p>
    <w:p>
      <w:pPr>
        <w:pStyle w:val="Normal"/>
        <w:ind w:hanging="0"/>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pPr>
        <w:pStyle w:val="Normal"/>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2" w:tgtFrame="consultantplus://offline/ref=57E0B1C8ADAC653FBEA55D1E9049ED91A63B5BC1BDB036D12C5B445229pEa3J">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pPr>
        <w:pStyle w:val="Normal"/>
        <w:ind w:firstLine="567"/>
        <w:rPr>
          <w:rFonts w:ascii="Times New Roman" w:hAnsi="Times New Roman"/>
          <w:sz w:val="28"/>
          <w:szCs w:val="28"/>
        </w:rPr>
      </w:pPr>
      <w:r>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Normal"/>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pPr>
        <w:pStyle w:val="Normal"/>
        <w:ind w:firstLine="567"/>
        <w:rPr>
          <w:rFonts w:ascii="Times New Roman" w:hAnsi="Times New Roman"/>
          <w:sz w:val="28"/>
          <w:szCs w:val="28"/>
        </w:rPr>
      </w:pPr>
      <w:r>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pPr>
        <w:pStyle w:val="Normal"/>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nnotationreference"/>
          <w:rFonts w:ascii="Times New Roman" w:hAnsi="Times New Roman"/>
          <w:sz w:val="28"/>
          <w:szCs w:val="28"/>
        </w:rPr>
        <w:t xml:space="preserve"> </w:t>
      </w:r>
      <w:r>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r>
    </w:p>
    <w:p>
      <w:pPr>
        <w:pStyle w:val="ListParagraph"/>
        <w:tabs>
          <w:tab w:val="clear" w:pos="709"/>
          <w:tab w:val="left" w:pos="426" w:leader="none"/>
        </w:tabs>
        <w:ind w:left="0" w:hanging="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Представление сведений о доходах, расходах,</w:t>
      </w:r>
    </w:p>
    <w:p>
      <w:pPr>
        <w:pStyle w:val="ListParagraph"/>
        <w:ind w:left="0" w:hanging="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pPr>
        <w:pStyle w:val="Normal"/>
        <w:jc w:val="center"/>
        <w:rPr>
          <w:rFonts w:ascii="Times New Roman" w:hAnsi="Times New Roman"/>
          <w:sz w:val="28"/>
          <w:szCs w:val="28"/>
        </w:rPr>
      </w:pPr>
      <w:r>
        <w:rPr>
          <w:rFonts w:ascii="Times New Roman" w:hAnsi="Times New Roman"/>
          <w:sz w:val="28"/>
          <w:szCs w:val="28"/>
        </w:rPr>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pPr>
        <w:pStyle w:val="ListParagraph"/>
        <w:numPr>
          <w:ilvl w:val="0"/>
          <w:numId w:val="1"/>
        </w:numPr>
        <w:tabs>
          <w:tab w:val="clear" w:pos="709"/>
          <w:tab w:val="left" w:pos="567" w:leader="none"/>
          <w:tab w:val="left" w:pos="993" w:leader="none"/>
        </w:tabs>
        <w:ind w:left="0" w:firstLine="567"/>
        <w:rPr>
          <w:rFonts w:ascii="Times New Roman" w:hAnsi="Times New Roman"/>
          <w:sz w:val="28"/>
          <w:szCs w:val="28"/>
        </w:rPr>
      </w:pPr>
      <w:r>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ListParagraph"/>
        <w:numPr>
          <w:ilvl w:val="0"/>
          <w:numId w:val="2"/>
        </w:numPr>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pPr>
        <w:pStyle w:val="ListParagraph"/>
        <w:numPr>
          <w:ilvl w:val="0"/>
          <w:numId w:val="2"/>
        </w:numPr>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 xml:space="preserve">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В случае, если в течение отчетного периода такие сделки не совершались:</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Pr>
          <w:rFonts w:ascii="Times New Roman" w:hAnsi="Times New Roman"/>
          <w:sz w:val="28"/>
          <w:szCs w:val="28"/>
        </w:rPr>
        <w:t>(</w:t>
      </w:r>
      <w:hyperlink r:id="rId3">
        <w:r>
          <w:rPr>
            <w:rStyle w:val="-"/>
            <w:rFonts w:ascii="Times New Roman" w:hAnsi="Times New Roman"/>
            <w:sz w:val="28"/>
            <w:szCs w:val="28"/>
          </w:rPr>
          <w:t>https://mintrud.gov.ru/ministry/programms/anticorruption/9/instruktivno-metodicheskie-materialy-po-fz</w:t>
        </w:r>
      </w:hyperlink>
      <w:hyperlink r:id="rId4">
        <w:r>
          <w:rPr>
            <w:rFonts w:ascii="Times New Roman" w:hAnsi="Times New Roman"/>
            <w:sz w:val="28"/>
            <w:szCs w:val="28"/>
          </w:rPr>
          <w:t>) .</w:t>
        </w:r>
      </w:hyperlink>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5" w:tgtFrame="consultantplus://offline/ref=C9E7374AA1332C6CF9FF0059DC9BC42D7E0C4094E90E8D4E87A0DE0B00JBsBL">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pPr>
        <w:pStyle w:val="ConsPlusNormal"/>
        <w:numPr>
          <w:ilvl w:val="0"/>
          <w:numId w:val="2"/>
        </w:numPr>
        <w:tabs>
          <w:tab w:val="clear" w:pos="709"/>
          <w:tab w:val="left" w:pos="567" w:leader="none"/>
        </w:tabs>
        <w:ind w:left="0" w:firstLine="567"/>
        <w:jc w:val="both"/>
        <w:rPr/>
      </w:pPr>
      <w:r>
        <w:rP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6" w:tgtFrame="consultantplus://offline/ref=176F7DE9F43BBC5D4BD135AAE1CAD04D0FAF9650A130B33DA87DA13E97FAF95DCF18F97FDC1FE2FAH7g2M">
        <w:r>
          <w:rPr/>
          <w:t>перечень</w:t>
        </w:r>
      </w:hyperlink>
      <w:r>
        <w:rPr/>
        <w:t>, утвержденный Советом директоров Центрального банка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7"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ListParagraph"/>
        <w:numPr>
          <w:ilvl w:val="0"/>
          <w:numId w:val="3"/>
        </w:numPr>
        <w:tabs>
          <w:tab w:val="clear" w:pos="709"/>
          <w:tab w:val="left" w:pos="0" w:leader="none"/>
          <w:tab w:val="left" w:pos="567" w:leader="none"/>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 (поступающим на службу);</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8" w:tgtFrame="consultantplus://offline/ref=3743F552A0D416E80BEAF690826125BB530BB097B6A5A5C17137C1E72FF3E91DCF3284BA9D2A6279g3rBM">
        <w:r>
          <w:rPr>
            <w:rFonts w:ascii="Times New Roman" w:hAnsi="Times New Roman"/>
            <w:sz w:val="28"/>
            <w:szCs w:val="28"/>
          </w:rPr>
          <w:t>перечень</w:t>
        </w:r>
      </w:hyperlink>
      <w:r>
        <w:rPr>
          <w:rFonts w:ascii="Times New Roman" w:hAnsi="Times New Roman"/>
          <w:sz w:val="28"/>
          <w:szCs w:val="28"/>
        </w:rPr>
        <w:t>, утвержденный Советом директоров Центрального банка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9"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иных должностей в соответствии с законодательством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Государственный гражданский служащий</w:t>
      </w:r>
      <w:r>
        <w:rPr>
          <w:rFonts w:ascii="Times New Roman" w:hAnsi="Times New Roman"/>
          <w:sz w:val="28"/>
        </w:rPr>
        <w:t xml:space="preserve"> Российской Федерации</w:t>
      </w:r>
      <w:r>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xml:space="preserve">, представляют Сведения 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br/>
        <w:t>№ 61).</w:t>
      </w:r>
    </w:p>
    <w:p>
      <w:pPr>
        <w:pStyle w:val="ListParagraph"/>
        <w:tabs>
          <w:tab w:val="clear" w:pos="709"/>
          <w:tab w:val="left" w:pos="1134" w:leader="none"/>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СПО "Справки БК" титульного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pPr>
        <w:pStyle w:val="Normal"/>
        <w:tabs>
          <w:tab w:val="clear" w:pos="709"/>
          <w:tab w:val="left" w:pos="1843" w:leader="none"/>
        </w:tabs>
        <w:spacing w:lineRule="exact" w:line="360"/>
        <w:ind w:firstLine="567"/>
        <w:rPr>
          <w:rFonts w:ascii="Times New Roman" w:hAnsi="Times New Roman"/>
          <w:sz w:val="28"/>
          <w:szCs w:val="28"/>
        </w:rPr>
      </w:pPr>
      <w:r>
        <w:rPr>
          <w:rFonts w:ascii="Times New Roman" w:hAnsi="Times New Roman"/>
          <w:color w:val="000000"/>
          <w:sz w:val="28"/>
          <w:szCs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color w:val="000000"/>
          <w:sz w:val="28"/>
          <w:szCs w:val="28"/>
        </w:rPr>
        <w:t xml:space="preserve">пункт 4 Положения </w:t>
      </w:r>
      <w:r>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pPr>
        <w:pStyle w:val="Normal"/>
        <w:tabs>
          <w:tab w:val="clear" w:pos="709"/>
          <w:tab w:val="left" w:pos="1843" w:leader="none"/>
        </w:tabs>
        <w:spacing w:lineRule="exact" w:line="360"/>
        <w:rPr>
          <w:rFonts w:ascii="Times New Roman" w:hAnsi="Times New Roman"/>
          <w:sz w:val="28"/>
          <w:szCs w:val="28"/>
        </w:rPr>
      </w:pPr>
      <w:r>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r>
    </w:p>
    <w:p>
      <w:pPr>
        <w:pStyle w:val="Normal"/>
        <w:tabs>
          <w:tab w:val="clear" w:pos="709"/>
          <w:tab w:val="left" w:pos="1134" w:leader="none"/>
        </w:tabs>
        <w:ind w:firstLine="567"/>
        <w:rPr>
          <w:rFonts w:ascii="Times New Roman" w:hAnsi="Times New Roman"/>
          <w:sz w:val="28"/>
          <w:szCs w:val="28"/>
        </w:rPr>
      </w:pPr>
      <w:r>
        <w:rPr>
          <w:rFonts w:ascii="Times New Roman" w:hAnsi="Times New Roman"/>
          <w:b/>
          <w:sz w:val="28"/>
          <w:szCs w:val="28"/>
        </w:rPr>
        <w:t xml:space="preserve">Обязательность представления Сведений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Лица, претендующие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на основании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2024 года.</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0" w:tgtFrame="consultantplus://offline/ref=33E7B6DD529722622844D6F9EBC8DBA03B3FAEDA9118A1613233FFF35FCD6ECFCAED66496D73EC2Di9vDO">
        <w:r>
          <w:rPr>
            <w:rFonts w:ascii="Times New Roman" w:hAnsi="Times New Roman"/>
            <w:sz w:val="28"/>
            <w:szCs w:val="28"/>
          </w:rPr>
          <w:t>перечнем</w:t>
        </w:r>
      </w:hyperlink>
      <w:r>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rP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pPr>
        <w:pStyle w:val="Normal"/>
        <w:tabs>
          <w:tab w:val="clear" w:pos="709"/>
          <w:tab w:val="left" w:pos="1134" w:leader="none"/>
        </w:tabs>
        <w:ind w:firstLine="567"/>
        <w:rPr>
          <w:rFonts w:ascii="Times New Roman" w:hAnsi="Times New Roman"/>
          <w:sz w:val="28"/>
          <w:szCs w:val="28"/>
          <w:highlight w:val="yellow"/>
        </w:rPr>
      </w:pPr>
      <w:r>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1">
        <w:r>
          <w:rPr>
            <w:rStyle w:val="-"/>
            <w:rFonts w:ascii="Times New Roman" w:hAnsi="Times New Roman"/>
            <w:sz w:val="28"/>
            <w:szCs w:val="28"/>
          </w:rPr>
          <w:t>https://mintrud.gov.ru/ministry/programms/anticorruption/9/23</w:t>
        </w:r>
      </w:hyperlink>
      <w:r>
        <w:rPr>
          <w:rFonts w:ascii="Times New Roman" w:hAnsi="Times New Roman"/>
          <w:sz w:val="28"/>
          <w:szCs w:val="28"/>
        </w:rPr>
        <w:t>).</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pPr>
        <w:pStyle w:val="ListParagraph"/>
        <w:tabs>
          <w:tab w:val="clear" w:pos="709"/>
          <w:tab w:val="left" w:pos="1134" w:leader="none"/>
        </w:tabs>
        <w:ind w:left="0" w:firstLine="709"/>
        <w:rPr>
          <w:rFonts w:ascii="Times New Roman" w:hAnsi="Times New Roman"/>
          <w:sz w:val="28"/>
          <w:szCs w:val="28"/>
        </w:rPr>
      </w:pPr>
      <w:r>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2">
        <w:r>
          <w:rPr>
            <w:rStyle w:val="-"/>
            <w:rFonts w:ascii="Times New Roman" w:hAnsi="Times New Roman"/>
            <w:sz w:val="28"/>
            <w:szCs w:val="28"/>
          </w:rPr>
          <w:t>https://mintrud.gov.ru/ministry/programms/anticorruption/9/23</w:t>
        </w:r>
      </w:hyperlink>
      <w:r>
        <w:rPr>
          <w:rFonts w:ascii="Times New Roman" w:hAnsi="Times New Roman"/>
          <w:sz w:val="28"/>
          <w:szCs w:val="28"/>
        </w:rPr>
        <w:t>). 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13 настоящих Методических рекомендаций.</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Сроки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ежегодно в следующие сроки:</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11 настоящих Методический рекомендаций.</w:t>
      </w:r>
    </w:p>
    <w:p>
      <w:pPr>
        <w:pStyle w:val="ListParagraph"/>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Лица, в отношении которых представляются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установленные для граждан и служащих (работников), различны:</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гражданин представляет:</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служащий (работник) представляет ежегодно:</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pPr>
        <w:pStyle w:val="ListParagraph"/>
        <w:numPr>
          <w:ilvl w:val="0"/>
          <w:numId w:val="1"/>
        </w:numPr>
        <w:tabs>
          <w:tab w:val="clear" w:pos="709"/>
          <w:tab w:val="left" w:pos="567" w:leader="none"/>
          <w:tab w:val="left" w:pos="993" w:leader="none"/>
          <w:tab w:val="left" w:pos="1134" w:leader="none"/>
        </w:tabs>
        <w:ind w:left="0" w:firstLine="567"/>
        <w:rPr>
          <w:rFonts w:ascii="Times New Roman" w:hAnsi="Times New Roman"/>
          <w:sz w:val="28"/>
          <w:szCs w:val="28"/>
        </w:rPr>
      </w:pPr>
      <w:bookmarkStart w:id="0" w:name="_Hlk153818148"/>
      <w:r>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0"/>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19 настоящих Методических рекомендаций.</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b/>
          <w:sz w:val="28"/>
          <w:szCs w:val="28"/>
        </w:rPr>
        <w:t>Замещение конкретной должности на отчетную дату как основание для представления Сведений</w:t>
      </w:r>
    </w:p>
    <w:p>
      <w:pPr>
        <w:pStyle w:val="ListParagraph"/>
        <w:numPr>
          <w:ilvl w:val="0"/>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pPr>
        <w:pStyle w:val="ListParagraph"/>
        <w:numPr>
          <w:ilvl w:val="1"/>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pPr>
        <w:pStyle w:val="ListParagraph"/>
        <w:numPr>
          <w:ilvl w:val="1"/>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pPr>
        <w:pStyle w:val="ListParagraph"/>
        <w:ind w:left="0" w:firstLine="567"/>
        <w:rPr>
          <w:rFonts w:ascii="Times New Roman" w:hAnsi="Times New Roman"/>
          <w:sz w:val="28"/>
          <w:szCs w:val="28"/>
        </w:rPr>
      </w:pPr>
      <w:r>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1 (30) апреля 2024 г. не требуется.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Определение круга лиц (членов семьи), в отношении которых необходимо представить Сведения</w:t>
      </w:r>
    </w:p>
    <w:p>
      <w:pPr>
        <w:pStyle w:val="ListParagraph"/>
        <w:numPr>
          <w:ilvl w:val="0"/>
          <w:numId w:val="1"/>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Супруги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1):</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3117"/>
        <w:gridCol w:w="7230"/>
      </w:tblGrid>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2024 году </w:t>
              <w:br/>
              <w:t>(за отчетный 2023 год)</w:t>
            </w:r>
          </w:p>
        </w:tc>
      </w:tr>
      <w:tr>
        <w:trPr/>
        <w:tc>
          <w:tcPr>
            <w:tcW w:w="31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2023 года</w:t>
            </w:r>
          </w:p>
        </w:tc>
        <w:tc>
          <w:tcPr>
            <w:tcW w:w="72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2023 года) служащий (работник) состоял в браке</w:t>
            </w:r>
          </w:p>
        </w:tc>
      </w:tr>
      <w:tr>
        <w:trPr/>
        <w:tc>
          <w:tcPr>
            <w:tcW w:w="31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Брак заключен в ЗАГСе в марте 2024 года</w:t>
            </w:r>
          </w:p>
        </w:tc>
        <w:tc>
          <w:tcPr>
            <w:tcW w:w="72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2023 года) служащий (работник) не состоял в браке </w:t>
            </w:r>
          </w:p>
        </w:tc>
      </w:tr>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trPr>
          <w:trHeight w:val="660" w:hRule="atLeast"/>
        </w:trPr>
        <w:tc>
          <w:tcPr>
            <w:tcW w:w="31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1 февраля 2024 года</w:t>
            </w:r>
          </w:p>
        </w:tc>
        <w:tc>
          <w:tcPr>
            <w:tcW w:w="72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представляются, поскольку по состоянию на отчетную дату (1 августа 2024 года) гражданин состоял в браке</w:t>
            </w:r>
          </w:p>
        </w:tc>
      </w:tr>
      <w:tr>
        <w:trPr>
          <w:trHeight w:val="131" w:hRule="atLeast"/>
        </w:trPr>
        <w:tc>
          <w:tcPr>
            <w:tcW w:w="31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2 августа 2024 года</w:t>
            </w:r>
          </w:p>
        </w:tc>
        <w:tc>
          <w:tcPr>
            <w:tcW w:w="72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не представляются, поскольку по состоянию на отчетную дату (1 августа 2024 года) гражданин еще не вступил в брак</w:t>
            </w:r>
          </w:p>
        </w:tc>
      </w:tr>
    </w:tbl>
    <w:p>
      <w:pPr>
        <w:pStyle w:val="ListParagraph"/>
        <w:tabs>
          <w:tab w:val="clear" w:pos="709"/>
          <w:tab w:val="left" w:pos="1134" w:leader="none"/>
        </w:tabs>
        <w:ind w:left="709" w:firstLine="851"/>
        <w:rPr>
          <w:rFonts w:ascii="Times New Roman" w:hAnsi="Times New Roman"/>
          <w:sz w:val="28"/>
          <w:szCs w:val="28"/>
        </w:rPr>
      </w:pPr>
      <w:r>
        <w:rPr>
          <w:rFonts w:ascii="Times New Roman" w:hAnsi="Times New Roman"/>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3145"/>
        <w:gridCol w:w="7202"/>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2024 году (за отчетный 2023 год)</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в ноябре 2023 года</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2023 года) служащий (работник) не состоял в браке</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12 декабря 2023 года и вступило в законную силу 12 января 2024 года</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2024 года. Таким образом, по состоянию на отчетную дату (31 декабря 2023 года) служащий (работник) считался состоявшим в браке</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Брак был расторгнут в ЗАГСе в марте 2024 года </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2023 года) служащий (работник) состоял в браке</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1 июля 2024 года</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2024 года) гражданин не состоял в браке</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Брак был расторгнут в ЗАГСе 2 августа 2024 года </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(1 августа 2024 года) гражданин состоял в браке</w:t>
            </w:r>
          </w:p>
        </w:tc>
      </w:tr>
      <w:tr>
        <w:trPr>
          <w:trHeight w:val="435" w:hRule="atLeast"/>
        </w:trPr>
        <w:tc>
          <w:tcPr>
            <w:tcW w:w="3145"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2024 года и вступило в законную силу 4 августа 2024 г.</w:t>
            </w:r>
          </w:p>
        </w:tc>
        <w:tc>
          <w:tcPr>
            <w:tcW w:w="720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2024 года. Таким образом, по состоянию на отчетную дату (1 августа 2024 года) гражданин считался состоявшим в браке</w:t>
            </w:r>
          </w:p>
        </w:tc>
      </w:tr>
    </w:tbl>
    <w:p>
      <w:pPr>
        <w:pStyle w:val="Normal"/>
        <w:ind w:firstLine="567"/>
        <w:rPr>
          <w:rFonts w:ascii="Times New Roman" w:hAnsi="Times New Roman"/>
          <w:b/>
          <w:sz w:val="28"/>
          <w:szCs w:val="28"/>
        </w:rPr>
      </w:pPr>
      <w:r>
        <w:rPr>
          <w:rFonts w:ascii="Times New Roman" w:hAnsi="Times New Roman"/>
          <w:b/>
          <w:sz w:val="28"/>
          <w:szCs w:val="28"/>
        </w:rPr>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3">
        <w:r>
          <w:rPr>
            <w:rStyle w:val="-"/>
            <w:rFonts w:ascii="Times New Roman" w:hAnsi="Times New Roman"/>
            <w:sz w:val="28"/>
            <w:szCs w:val="28"/>
          </w:rPr>
          <w:t>https://mintrud.gov.ru/ministry/programms/anticorruption/9/23</w:t>
        </w:r>
      </w:hyperlink>
      <w:r>
        <w:rPr>
          <w:rFonts w:ascii="Times New Roman" w:hAnsi="Times New Roman"/>
          <w:sz w:val="28"/>
          <w:szCs w:val="28"/>
        </w:rPr>
        <w:t>).</w:t>
      </w:r>
    </w:p>
    <w:p>
      <w:pPr>
        <w:pStyle w:val="ListParagraph"/>
        <w:ind w:left="0" w:firstLine="567"/>
        <w:rPr>
          <w:rFonts w:ascii="Times New Roman" w:hAnsi="Times New Roman"/>
          <w:b/>
          <w:sz w:val="28"/>
          <w:szCs w:val="28"/>
        </w:rPr>
      </w:pPr>
      <w:r>
        <w:rPr>
          <w:rFonts w:ascii="Times New Roman" w:hAnsi="Times New Roman"/>
          <w:b/>
          <w:sz w:val="28"/>
          <w:szCs w:val="28"/>
        </w:rPr>
        <w:t>Несовершеннолетние дети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pPr>
        <w:pStyle w:val="Normal"/>
        <w:ind w:firstLine="567"/>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3117"/>
        <w:gridCol w:w="7230"/>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2024 году (за отчетный 2023 год)</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21 мая 2023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30 декабря 2023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31 декабря 2023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2024 года. Таким образом, по состоянию на отчетную дату (31 декабря 2023 года) она еще являлась несовершеннолетней</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представляет в сентябре 2024 года Сведения в связи с назначением на должность. Отчетной датой является 1 августа 2024 года</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5 мая 2024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2024 года) сыну гражданина уже исполнилось 18 лет</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 августа 2024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2024 года. Таким образом, по состоянию на отчетную дату (1 августа 2024 года) он еще являлся несовершеннолетним</w:t>
            </w:r>
          </w:p>
        </w:tc>
      </w:tr>
      <w:tr>
        <w:trPr>
          <w:trHeight w:val="435" w:hRule="atLeast"/>
        </w:trPr>
        <w:tc>
          <w:tcPr>
            <w:tcW w:w="311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17 августа 2024 года исполнилось 18 лет</w:t>
            </w:r>
          </w:p>
        </w:tc>
        <w:tc>
          <w:tcPr>
            <w:tcW w:w="7230"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2024 года) сын гражданина являлся несовершеннолетним </w:t>
            </w:r>
          </w:p>
        </w:tc>
      </w:tr>
    </w:tbl>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ListParagraph"/>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2024 году справке приложить соответствующие письменные пояснения (например, ситуации, связанные с выявлением счета в кредитной организации, отрытого в 2022 году, но не отраженного в справке, представленной в рамках декларационной кампании 2023 года).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pPr>
        <w:pStyle w:val="Normal"/>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по объективным причинам представить Сведения в отношении члена семьи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14">
        <w:r>
          <w:rPr>
            <w:rStyle w:val="-"/>
            <w:rFonts w:ascii="Times New Roman" w:hAnsi="Times New Roman"/>
            <w:sz w:val="28"/>
            <w:szCs w:val="28"/>
          </w:rPr>
          <w:t>https://mintrud.gov.ru/ministry/programms/anticorruption/9/24</w:t>
        </w:r>
      </w:hyperlink>
      <w:r>
        <w:rPr>
          <w:rFonts w:ascii="Times New Roman" w:hAnsi="Times New Roman"/>
          <w:sz w:val="28"/>
          <w:szCs w:val="28"/>
        </w:rPr>
        <w:t xml:space="preserve">).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pPr>
        <w:pStyle w:val="ListParagraph"/>
        <w:ind w:left="0" w:firstLine="567"/>
        <w:rPr>
          <w:rFonts w:ascii="Times New Roman" w:hAnsi="Times New Roman"/>
          <w:sz w:val="28"/>
          <w:szCs w:val="28"/>
        </w:rPr>
      </w:pPr>
      <w:r>
        <w:rPr>
          <w:rFonts w:ascii="Times New Roman" w:hAnsi="Times New Roman"/>
          <w:sz w:val="28"/>
          <w:szCs w:val="28"/>
        </w:rPr>
        <w:t>Заявление подается (таблица № 4):</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3223"/>
        <w:gridCol w:w="7124"/>
      </w:tblGrid>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pPr>
              <w:pStyle w:val="Normal"/>
              <w:widowControl w:val="false"/>
              <w:ind w:hanging="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 </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pStyle w:val="Normal"/>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w:t>
      </w:r>
      <w:r>
        <w:rPr>
          <w:rFonts w:ascii="Times New Roman" w:hAnsi="Times New Roman"/>
          <w:sz w:val="28"/>
        </w:rPr>
        <w:t>на непостоянной основе</w:t>
      </w:r>
      <w:r>
        <w:rPr>
          <w:rFonts w:ascii="Times New Roman" w:hAnsi="Times New Roman"/>
          <w:sz w:val="28"/>
          <w:szCs w:val="28"/>
        </w:rPr>
        <w:t>),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pPr>
        <w:pStyle w:val="ListParagraph"/>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pPr>
        <w:pStyle w:val="Normal"/>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невозможности исполнения служащим (работником) обязанности представить Сведения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ListParagraph"/>
        <w:ind w:left="0" w:firstLine="567"/>
        <w:rPr>
          <w:rFonts w:ascii="Times New Roman" w:hAnsi="Times New Roman"/>
          <w:sz w:val="28"/>
          <w:szCs w:val="28"/>
        </w:rPr>
      </w:pPr>
      <w:r>
        <w:rPr>
          <w:rFonts w:ascii="Times New Roman" w:hAnsi="Times New Roman"/>
          <w:sz w:val="28"/>
          <w:szCs w:val="28"/>
        </w:rPr>
        <w:t xml:space="preserve">Конкретные не зависящие от служащего (работника) обстоятельства приведены в части 4 статьи 13 Федерального закона от 25 декабря 2008 г. № 273-ФЗ "О противодействии коррупции".  </w:t>
      </w:r>
    </w:p>
    <w:p>
      <w:pPr>
        <w:pStyle w:val="ListParagraph"/>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Уведомление направляется также в случае невозможности по независящим обстоятельствам представления Сведений в отношении самого служащего (работника).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pPr>
        <w:pStyle w:val="Normal"/>
        <w:ind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p>
    <w:p>
      <w:pPr>
        <w:pStyle w:val="Normal"/>
        <w:ind w:hanging="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pPr>
        <w:pStyle w:val="ListParagraph"/>
        <w:ind w:left="0" w:firstLine="567"/>
        <w:rPr>
          <w:rFonts w:ascii="Times New Roman" w:hAnsi="Times New Roman"/>
          <w:sz w:val="28"/>
          <w:szCs w:val="28"/>
        </w:rPr>
      </w:pPr>
      <w:r>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pPr>
        <w:pStyle w:val="ListParagraph"/>
        <w:ind w:left="0" w:firstLine="567"/>
        <w:rPr>
          <w:rFonts w:ascii="Times New Roman" w:hAnsi="Times New Roman"/>
          <w:sz w:val="28"/>
          <w:szCs w:val="28"/>
        </w:rPr>
      </w:pPr>
      <w:r>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pPr>
        <w:pStyle w:val="ListParagraph"/>
        <w:ind w:left="0" w:firstLine="567"/>
        <w:rPr>
          <w:rFonts w:ascii="Times New Roman" w:hAnsi="Times New Roman"/>
          <w:sz w:val="28"/>
          <w:szCs w:val="28"/>
        </w:rPr>
      </w:pPr>
      <w:r>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СПО "Справки БК" размещено на официальном сайте Президента Российской Федерации (</w:t>
      </w:r>
      <w:hyperlink r:id="rId15" w:tgtFrame="http://www.kremlin.ru/structure/additional/12">
        <w:r>
          <w:rPr>
            <w:rStyle w:val="-"/>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6" w:tgtFrame="https://gossluzhba.gov.ru/anticorruption/spravki_bk">
        <w:r>
          <w:rPr>
            <w:rStyle w:val="-"/>
            <w:rFonts w:ascii="Times New Roman" w:hAnsi="Times New Roman"/>
            <w:sz w:val="28"/>
            <w:szCs w:val="28"/>
          </w:rPr>
          <w:t>https://gossluzhba.gov.ru/anticorruption/spravki_bk</w:t>
        </w:r>
      </w:hyperlink>
      <w:r>
        <w:rPr>
          <w:rFonts w:ascii="Times New Roman" w:hAnsi="Times New Roman"/>
          <w:sz w:val="28"/>
          <w:szCs w:val="28"/>
        </w:rPr>
        <w:t>).</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pPr>
        <w:pStyle w:val="ListParagraph"/>
        <w:ind w:left="0" w:firstLine="567"/>
        <w:rPr>
          <w:rFonts w:ascii="Times New Roman" w:hAnsi="Times New Roman"/>
          <w:sz w:val="28"/>
          <w:szCs w:val="28"/>
        </w:rPr>
      </w:pPr>
      <w:r>
        <w:rPr>
          <w:rFonts w:ascii="Times New Roman" w:hAnsi="Times New Roman"/>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pPr>
        <w:pStyle w:val="ListParagraph"/>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pPr>
        <w:pStyle w:val="ListParagraph"/>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pPr>
        <w:pStyle w:val="ListParagraph"/>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pPr>
        <w:pStyle w:val="ListParagraph"/>
        <w:ind w:left="0" w:firstLine="567"/>
        <w:rPr>
          <w:rFonts w:ascii="Times New Roman" w:hAnsi="Times New Roman"/>
          <w:sz w:val="28"/>
          <w:szCs w:val="28"/>
        </w:rPr>
      </w:pPr>
      <w:r>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17">
        <w:r>
          <w:rPr>
            <w:rStyle w:val="-"/>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pPr>
        <w:pStyle w:val="ListParagraph"/>
        <w:tabs>
          <w:tab w:val="clear" w:pos="709"/>
          <w:tab w:val="left" w:pos="851" w:leader="none"/>
        </w:tabs>
        <w:ind w:left="0" w:hanging="0"/>
        <w:jc w:val="center"/>
        <w:rPr>
          <w:rFonts w:ascii="Times New Roman" w:hAnsi="Times New Roman"/>
          <w:b/>
          <w:sz w:val="28"/>
          <w:szCs w:val="28"/>
        </w:rPr>
      </w:pPr>
      <w:r>
        <w:rPr>
          <w:rFonts w:ascii="Times New Roman" w:hAnsi="Times New Roman"/>
          <w:b/>
          <w:sz w:val="28"/>
          <w:szCs w:val="28"/>
        </w:rPr>
      </w:r>
    </w:p>
    <w:p>
      <w:pPr>
        <w:pStyle w:val="ListParagraph"/>
        <w:tabs>
          <w:tab w:val="clear" w:pos="709"/>
          <w:tab w:val="left" w:pos="851" w:leader="none"/>
        </w:tabs>
        <w:ind w:left="0" w:hanging="0"/>
        <w:jc w:val="center"/>
        <w:rPr>
          <w:rFonts w:ascii="Times New Roman" w:hAnsi="Times New Roman"/>
          <w:b/>
          <w:sz w:val="28"/>
          <w:szCs w:val="28"/>
        </w:rPr>
      </w:pPr>
      <w:r>
        <w:rPr>
          <w:rFonts w:ascii="Times New Roman" w:hAnsi="Times New Roman"/>
          <w:b/>
          <w:sz w:val="28"/>
          <w:szCs w:val="28"/>
        </w:rPr>
        <w:t>ТИТУЛЬНЫЙ ЛИСТ</w:t>
      </w:r>
    </w:p>
    <w:p>
      <w:pPr>
        <w:pStyle w:val="ListParagraph"/>
        <w:tabs>
          <w:tab w:val="clear" w:pos="709"/>
          <w:tab w:val="left" w:pos="851" w:leader="none"/>
        </w:tabs>
        <w:ind w:left="0"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bCs/>
          <w:sz w:val="28"/>
          <w:szCs w:val="28"/>
        </w:rPr>
        <w:t>При заполнении титульного листа справки рекомендуется обратить внимание на следующее</w:t>
      </w:r>
      <w:r>
        <w:rPr>
          <w:rFonts w:ascii="Times New Roman" w:hAnsi="Times New Roman"/>
          <w:sz w:val="28"/>
          <w:szCs w:val="28"/>
        </w:rPr>
        <w:t>:</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Pr>
          <w:rFonts w:ascii="Times New Roman" w:hAnsi="Times New Roman"/>
          <w:bCs/>
          <w:sz w:val="28"/>
          <w:szCs w:val="28"/>
        </w:rPr>
        <w:t>указываются (в именительном падеж</w:t>
      </w:r>
      <w:r>
        <w:rPr>
          <w:rFonts w:ascii="Times New Roman" w:hAnsi="Times New Roman"/>
          <w:color w:val="1F497D"/>
          <w:sz w:val="28"/>
          <w:szCs w:val="28"/>
        </w:rPr>
        <w:t>е</w:t>
      </w:r>
      <w:r>
        <w:rPr>
          <w:rFonts w:ascii="Times New Roman" w:hAnsi="Times New Roman"/>
          <w:bCs/>
          <w:sz w:val="28"/>
          <w:szCs w:val="28"/>
        </w:rPr>
        <w:t xml:space="preserve">) </w:t>
      </w:r>
      <w:r>
        <w:rPr>
          <w:rStyle w:val="Style13"/>
          <w:rFonts w:cs="Times New Roman" w:ascii="Times New Roman" w:hAnsi="Times New Roman"/>
          <w:sz w:val="28"/>
          <w:szCs w:val="28"/>
        </w:rPr>
        <w:t>полностью, без</w:t>
      </w:r>
      <w:r>
        <w:rPr>
          <w:rStyle w:val="Style13"/>
          <w:rFonts w:cs="Times New Roman" w:ascii="Times New Roman" w:hAnsi="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удостоверяющего личность документа указываются по состоянию на дату представления справки)</w:t>
      </w:r>
      <w:r>
        <w:rPr>
          <w:rStyle w:val="Style13"/>
          <w:rFonts w:cs="Times New Roman" w:ascii="Times New Roman" w:hAnsi="Times New Roman"/>
          <w:color w:val="000000"/>
          <w:sz w:val="28"/>
          <w:szCs w:val="28"/>
        </w:rPr>
        <w:t xml:space="preserve">. </w:t>
      </w:r>
      <w:r>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Style13"/>
          <w:rFonts w:cs="Times New Roman" w:ascii="Times New Roman" w:hAnsi="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pPr>
        <w:pStyle w:val="ConsPlusNonformat"/>
        <w:tabs>
          <w:tab w:val="clear" w:pos="709"/>
          <w:tab w:val="left" w:pos="567" w:leader="none"/>
        </w:tabs>
        <w:ind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cs="Times New Roman" w:ascii="Times New Roman" w:hAnsi="Times New Roman"/>
          <w:sz w:val="28"/>
          <w:szCs w:val="28"/>
        </w:rPr>
        <w:t>(с 1 января по 1 (30) апреля года, следующего за отчетным)</w:t>
      </w:r>
      <w:r>
        <w:rPr>
          <w:rStyle w:val="Style13"/>
          <w:rFonts w:cs="Times New Roman" w:ascii="Times New Roman" w:hAnsi="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pPr>
        <w:pStyle w:val="ConsPlusNonformat"/>
        <w:tabs>
          <w:tab w:val="clear" w:pos="709"/>
          <w:tab w:val="left" w:pos="567" w:leader="none"/>
        </w:tabs>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cs="Times New Roman" w:ascii="Times New Roman" w:hAnsi="Times New Roman"/>
          <w:sz w:val="28"/>
          <w:szCs w:val="28"/>
        </w:rPr>
        <w:t>или "находится на домашнем воспитании".</w:t>
      </w:r>
    </w:p>
    <w:p>
      <w:pPr>
        <w:pStyle w:val="ConsPlusNonformat"/>
        <w:tabs>
          <w:tab w:val="clear" w:pos="709"/>
          <w:tab w:val="left" w:pos="567" w:leader="none"/>
        </w:tabs>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cs="Times New Roman" w:ascii="Times New Roman" w:hAnsi="Times New Roman"/>
          <w:sz w:val="28"/>
          <w:szCs w:val="28"/>
        </w:rPr>
        <w:t xml:space="preserve"> или "домохозяйка" ("домохозяин")</w:t>
      </w:r>
      <w:r>
        <w:rPr>
          <w:rStyle w:val="Style13"/>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sz w:val="28"/>
          <w:szCs w:val="28"/>
        </w:rPr>
        <w:t xml:space="preserve">Лицу, осуществляющему уход за нетрудоспособными гражданами, в рассматриваемой графе рекомендуется указывать </w:t>
      </w:r>
      <w:r>
        <w:rPr>
          <w:rFonts w:cs="Times New Roman" w:ascii="Times New Roman" w:hAnsi="Times New Roman"/>
          <w:sz w:val="28"/>
          <w:szCs w:val="28"/>
        </w:rPr>
        <w:t>"</w:t>
      </w:r>
      <w:r>
        <w:rPr>
          <w:rStyle w:val="Style13"/>
          <w:rFonts w:cs="Times New Roman" w:ascii="Times New Roman" w:hAnsi="Times New Roman"/>
          <w:sz w:val="28"/>
          <w:szCs w:val="28"/>
        </w:rPr>
        <w:t>осуществляющий уход за нетрудоспособным гражданином</w:t>
      </w:r>
      <w:r>
        <w:rPr>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Представление депутатом представительного органа муниципального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sz w:val="28"/>
          <w:szCs w:val="28"/>
        </w:rPr>
        <w:t xml:space="preserve">5) при наличии на отчетную дату нескольких мест работы на титульном листе справки </w:t>
      </w:r>
      <w:r>
        <w:rPr>
          <w:rFonts w:cs="Times New Roman" w:ascii="Times New Roman" w:hAnsi="Times New Roman"/>
          <w:sz w:val="28"/>
          <w:szCs w:val="28"/>
        </w:rPr>
        <w:t>обязательно</w:t>
      </w:r>
      <w:r>
        <w:rPr>
          <w:rStyle w:val="Style13"/>
          <w:rFonts w:cs="Times New Roman" w:ascii="Times New Roman" w:hAnsi="Times New Roman"/>
          <w:sz w:val="28"/>
          <w:szCs w:val="28"/>
        </w:rPr>
        <w:t xml:space="preserve"> указывается основное место работы, т.е. </w:t>
      </w:r>
      <w:r>
        <w:rPr>
          <w:rFonts w:cs="Times New Roman" w:ascii="Times New Roman" w:hAnsi="Times New Roman"/>
          <w:sz w:val="28"/>
          <w:szCs w:val="28"/>
        </w:rPr>
        <w:t>организация, в которой находится трудовая книжка. При этом рекомендуется указать и иные места работы.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color w:val="000000"/>
          <w:sz w:val="28"/>
          <w:szCs w:val="28"/>
        </w:rPr>
        <w:t>6) а</w:t>
      </w:r>
      <w:r>
        <w:rPr>
          <w:rFonts w:cs="Times New Roman" w:ascii="Times New Roman" w:hAnsi="Times New Roman"/>
          <w:bCs/>
          <w:sz w:val="28"/>
          <w:szCs w:val="28"/>
        </w:rPr>
        <w:t>дрес места регистрации у</w:t>
      </w:r>
      <w:r>
        <w:rPr>
          <w:rFonts w:cs="Times New Roman" w:ascii="Times New Roman" w:hAnsi="Times New Roman"/>
          <w:sz w:val="28"/>
          <w:szCs w:val="28"/>
        </w:rPr>
        <w:t xml:space="preserve">казывается </w:t>
      </w:r>
      <w:r>
        <w:rPr>
          <w:rStyle w:val="Style13"/>
          <w:rFonts w:cs="Times New Roman" w:ascii="Times New Roman" w:hAnsi="Times New Roman"/>
          <w:sz w:val="28"/>
          <w:szCs w:val="28"/>
        </w:rPr>
        <w:t>по состоянию на дату представления справки</w:t>
      </w:r>
      <w:r>
        <w:rPr>
          <w:rStyle w:val="Style13"/>
          <w:rFonts w:cs="Times New Roman" w:ascii="Times New Roman" w:hAnsi="Times New Roman"/>
          <w:color w:val="000000"/>
          <w:sz w:val="28"/>
          <w:szCs w:val="28"/>
        </w:rPr>
        <w:t xml:space="preserve"> </w:t>
      </w:r>
      <w:r>
        <w:rPr>
          <w:rFonts w:cs="Times New Roman" w:ascii="Times New Roman" w:hAnsi="Times New Roman"/>
          <w:sz w:val="28"/>
          <w:szCs w:val="28"/>
        </w:rPr>
        <w:t>на основании записи в паспорте</w:t>
      </w:r>
      <w:r>
        <w:rPr>
          <w:rStyle w:val="Style13"/>
          <w:rFonts w:cs="Times New Roman" w:ascii="Times New Roman" w:hAnsi="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cs="Times New Roman" w:ascii="Times New Roman" w:hAnsi="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pPr>
        <w:pStyle w:val="Normal"/>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1. СВЕДЕНИЯ О ДОХОДАХ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ListParagraph"/>
        <w:numPr>
          <w:ilvl w:val="0"/>
          <w:numId w:val="1"/>
        </w:numPr>
        <w:ind w:left="0" w:firstLine="709"/>
        <w:rPr>
          <w:rFonts w:ascii="Times New Roman" w:hAnsi="Times New Roman"/>
          <w:sz w:val="28"/>
          <w:szCs w:val="28"/>
        </w:rPr>
      </w:pPr>
      <w:r>
        <w:rPr>
          <w:rFonts w:eastAsia="Times New Roman" w:ascii="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pPr>
        <w:pStyle w:val="ListParagraph"/>
        <w:tabs>
          <w:tab w:val="clear" w:pos="709"/>
          <w:tab w:val="left" w:pos="1134" w:leader="none"/>
        </w:tabs>
        <w:ind w:left="0" w:firstLine="567"/>
        <w:rPr>
          <w:rFonts w:ascii="Times New Roman" w:hAnsi="Times New Roman"/>
          <w:b/>
          <w:sz w:val="28"/>
          <w:szCs w:val="28"/>
        </w:rPr>
      </w:pPr>
      <w:r>
        <w:rPr>
          <w:rFonts w:ascii="Times New Roman" w:hAnsi="Times New Roman"/>
          <w:b/>
          <w:sz w:val="28"/>
          <w:szCs w:val="28"/>
        </w:rPr>
        <w:t>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иных доходах. </w:t>
      </w:r>
    </w:p>
    <w:p>
      <w:pPr>
        <w:pStyle w:val="Normal"/>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"Иные доходы"</w:t>
      </w:r>
      <w:r>
        <w:rPr>
          <w:rFonts w:ascii="Times New Roman" w:hAnsi="Times New Roman"/>
          <w:sz w:val="28"/>
          <w:szCs w:val="28"/>
        </w:rPr>
        <w:t>. При этом в графе "Вид дохода" указывается предыдущее место работы.</w:t>
      </w:r>
    </w:p>
    <w:p>
      <w:pPr>
        <w:pStyle w:val="ListParagraph"/>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Normal"/>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pStyle w:val="Normal"/>
        <w:ind w:firstLine="567"/>
        <w:rPr>
          <w:rFonts w:ascii="Times New Roman" w:hAnsi="Times New Roman"/>
          <w:sz w:val="28"/>
          <w:szCs w:val="28"/>
        </w:rPr>
      </w:pPr>
      <w:r>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pPr>
        <w:pStyle w:val="Normal"/>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pPr>
        <w:pStyle w:val="Normal"/>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18" w:tgtFrame="https://mintrud.gov.ru/docs/1872">
        <w:r>
          <w:rPr>
            <w:rStyle w:val="-"/>
            <w:rFonts w:ascii="Times New Roman" w:hAnsi="Times New Roman"/>
            <w:sz w:val="28"/>
            <w:szCs w:val="28"/>
          </w:rPr>
          <w:t>https://mintrud.gov.ru/docs/1872</w:t>
        </w:r>
      </w:hyperlink>
      <w:r>
        <w:rPr>
          <w:rFonts w:ascii="Times New Roman" w:hAnsi="Times New Roman"/>
          <w:sz w:val="28"/>
          <w:szCs w:val="28"/>
        </w:rPr>
        <w:t xml:space="preserve">). </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Доход от педагогической и научной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педагогической и научной деятельности"</w:t>
      </w:r>
      <w:r>
        <w:rPr>
          <w:rFonts w:ascii="Times New Roman" w:hAnsi="Times New Roman"/>
          <w:sz w:val="28"/>
          <w:szCs w:val="28"/>
        </w:rPr>
        <w:t>.</w:t>
      </w:r>
    </w:p>
    <w:p>
      <w:pPr>
        <w:pStyle w:val="ListParagraph"/>
        <w:ind w:left="0" w:firstLine="567"/>
        <w:rPr>
          <w:rFonts w:ascii="Times New Roman" w:hAnsi="Times New Roman"/>
          <w:b/>
          <w:sz w:val="28"/>
          <w:szCs w:val="28"/>
        </w:rPr>
      </w:pPr>
      <w:r>
        <w:rPr>
          <w:rFonts w:ascii="Times New Roman" w:hAnsi="Times New Roman"/>
          <w:b/>
          <w:sz w:val="28"/>
          <w:szCs w:val="28"/>
        </w:rPr>
        <w:t>Доход от иной творческой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Default"/>
        <w:numPr>
          <w:ilvl w:val="0"/>
          <w:numId w:val="1"/>
        </w:numPr>
        <w:ind w:left="0" w:firstLine="567"/>
        <w:rPr>
          <w:color w:val="auto"/>
          <w:sz w:val="28"/>
          <w:szCs w:val="28"/>
        </w:rPr>
      </w:pPr>
      <w:r>
        <w:rPr>
          <w:color w:val="auto"/>
          <w:sz w:val="28"/>
          <w:szCs w:val="28"/>
        </w:rPr>
        <w:t xml:space="preserve">Подлежат указанию в строках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Normal"/>
        <w:tabs>
          <w:tab w:val="clear" w:pos="709"/>
          <w:tab w:val="left" w:pos="1134" w:leader="none"/>
        </w:tabs>
        <w:ind w:firstLine="567"/>
        <w:rPr>
          <w:rFonts w:ascii="Times New Roman" w:hAnsi="Times New Roman"/>
          <w:b/>
          <w:sz w:val="28"/>
          <w:szCs w:val="28"/>
        </w:rPr>
      </w:pPr>
      <w:r>
        <w:rPr>
          <w:rFonts w:ascii="Times New Roman" w:hAnsi="Times New Roman"/>
          <w:b/>
          <w:sz w:val="28"/>
          <w:szCs w:val="28"/>
        </w:rPr>
        <w:t>Доход от вкладов в банках и иных кредитных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случая, указанного в пункте 75 настоящих Методических рекомендаций).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Style13"/>
          <w:rFonts w:cs="Times New Roman" w:ascii="Times New Roman" w:hAnsi="Times New Roman"/>
          <w:sz w:val="28"/>
          <w:szCs w:val="28"/>
        </w:rPr>
        <w:t>полученной в рамках Указания Банка России № 5798-У, такие сведения не отражаются в справке.</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Доход от ценных бумаг и долей участия в коммерческих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ListParagraph"/>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ListParagraph"/>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shd w:fill="FFFFFF" w:val="clear"/>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Иные доходы</w:t>
      </w:r>
    </w:p>
    <w:p>
      <w:pPr>
        <w:pStyle w:val="Style22"/>
        <w:numPr>
          <w:ilvl w:val="0"/>
          <w:numId w:val="1"/>
        </w:numPr>
        <w:shd w:val="clear" w:color="auto" w:fill="auto"/>
        <w:tabs>
          <w:tab w:val="clear" w:pos="709"/>
          <w:tab w:val="left" w:pos="142"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В данной строке указываются доходы, которые не были отражены в вышеуказанных строках справки. </w:t>
      </w:r>
    </w:p>
    <w:p>
      <w:pPr>
        <w:pStyle w:val="Style22"/>
        <w:shd w:val="clear" w:color="auto" w:fill="auto"/>
        <w:tabs>
          <w:tab w:val="clear" w:pos="709"/>
          <w:tab w:val="left" w:pos="142" w:leader="none"/>
        </w:tabs>
        <w:spacing w:lineRule="auto" w:line="240" w:before="0" w:after="0"/>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Так, например, в строке </w:t>
      </w:r>
      <w:r>
        <w:rPr>
          <w:rStyle w:val="Style13"/>
          <w:rFonts w:cs="Times New Roman" w:ascii="Times New Roman" w:hAnsi="Times New Roman"/>
          <w:b/>
          <w:sz w:val="28"/>
          <w:szCs w:val="28"/>
        </w:rPr>
        <w:t>"Иные</w:t>
      </w:r>
      <w:r>
        <w:rPr>
          <w:rStyle w:val="Style13"/>
          <w:rFonts w:ascii="Times New Roman" w:hAnsi="Times New Roman"/>
          <w:b/>
          <w:sz w:val="28"/>
        </w:rPr>
        <w:t xml:space="preserve"> доходы</w:t>
      </w:r>
      <w:r>
        <w:rPr>
          <w:rStyle w:val="Style13"/>
          <w:rFonts w:cs="Times New Roman" w:ascii="Times New Roman" w:hAnsi="Times New Roman"/>
          <w:b/>
          <w:sz w:val="28"/>
          <w:szCs w:val="28"/>
        </w:rPr>
        <w:t>"</w:t>
      </w:r>
      <w:r>
        <w:rPr>
          <w:rStyle w:val="Style13"/>
          <w:rFonts w:cs="Times New Roman" w:ascii="Times New Roman" w:hAnsi="Times New Roman"/>
          <w:sz w:val="28"/>
          <w:szCs w:val="28"/>
        </w:rPr>
        <w:t xml:space="preserve"> могут быть указаны: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государственная и негосударственная пенсии </w:t>
      </w:r>
      <w:r>
        <w:rPr>
          <w:rFonts w:cs="Times New Roman" w:ascii="Times New Roman" w:hAnsi="Times New Roman"/>
          <w:sz w:val="28"/>
          <w:szCs w:val="28"/>
        </w:rPr>
        <w:t>(при этом разные виды пенсий (по возрасту и пенсия военнослужащего) не следует суммировать)</w:t>
      </w:r>
      <w:r>
        <w:rPr>
          <w:rStyle w:val="Style13"/>
          <w:rFonts w:cs="Times New Roman" w:ascii="Times New Roman" w:hAnsi="Times New Roman"/>
          <w:sz w:val="28"/>
          <w:szCs w:val="28"/>
        </w:rPr>
        <w:t>;</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 </w:t>
      </w:r>
    </w:p>
    <w:p>
      <w:pPr>
        <w:pStyle w:val="Default"/>
        <w:numPr>
          <w:ilvl w:val="0"/>
          <w:numId w:val="6"/>
        </w:numPr>
        <w:tabs>
          <w:tab w:val="clear" w:pos="709"/>
          <w:tab w:val="left" w:pos="142" w:leader="none"/>
          <w:tab w:val="left" w:pos="1134" w:leader="none"/>
        </w:tabs>
        <w:ind w:left="0" w:firstLine="567"/>
        <w:rPr>
          <w:color w:val="auto"/>
          <w:sz w:val="28"/>
          <w:szCs w:val="28"/>
        </w:rPr>
      </w:pPr>
      <w:r>
        <w:rPr>
          <w:rStyle w:val="Style13"/>
          <w:rFonts w:cs="Times New Roman"/>
          <w:sz w:val="28"/>
          <w:szCs w:val="28"/>
        </w:rPr>
        <w:t xml:space="preserve">все виды пособий (пособие </w:t>
      </w:r>
      <w:r>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Style13"/>
          <w:rFonts w:cs="Times New Roman"/>
          <w:sz w:val="28"/>
          <w:szCs w:val="28"/>
        </w:rPr>
        <w:t xml:space="preserve"> и др.</w:t>
      </w:r>
      <w:r>
        <w:rPr>
          <w:color w:val="auto"/>
          <w:sz w:val="28"/>
          <w:szCs w:val="28"/>
        </w:rPr>
        <w:t xml:space="preserve">), если данные выплаты не были включены в Справку </w:t>
      </w:r>
      <w:r>
        <w:rPr>
          <w:sz w:val="28"/>
          <w:szCs w:val="28"/>
        </w:rPr>
        <w:t>о доходах и суммах налога физического лица</w:t>
      </w:r>
      <w:r>
        <w:rPr>
          <w:color w:val="auto"/>
          <w:sz w:val="28"/>
          <w:szCs w:val="28"/>
        </w:rPr>
        <w:t xml:space="preserve">, выдаваемую по месту службы (работы). </w:t>
      </w:r>
    </w:p>
    <w:p>
      <w:pPr>
        <w:pStyle w:val="Default"/>
        <w:tabs>
          <w:tab w:val="clear" w:pos="709"/>
          <w:tab w:val="left" w:pos="142" w:leader="none"/>
          <w:tab w:val="left" w:pos="1134" w:leader="none"/>
        </w:tabs>
        <w:ind w:firstLine="567"/>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Fonts w:cs="Times New Roman" w:ascii="Times New Roman" w:hAnsi="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w:t>
      </w:r>
      <w:r>
        <w:rPr>
          <w:rStyle w:val="Style13"/>
          <w:rFonts w:ascii="Times New Roman" w:hAnsi="Times New Roman"/>
          <w:b/>
          <w:color w:val="000000"/>
          <w:sz w:val="28"/>
        </w:rPr>
        <w:t>"Иные доходы"</w:t>
      </w:r>
      <w:r>
        <w:rPr>
          <w:rStyle w:val="Style13"/>
          <w:rFonts w:cs="Times New Roman" w:ascii="Times New Roman" w:hAnsi="Times New Roman"/>
          <w:color w:val="000000"/>
          <w:sz w:val="28"/>
          <w:szCs w:val="28"/>
        </w:rPr>
        <w:t xml:space="preserve"> и в разделе 4 справки;</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стипендия;</w:t>
      </w:r>
    </w:p>
    <w:p>
      <w:pPr>
        <w:pStyle w:val="ListParagraph"/>
        <w:numPr>
          <w:ilvl w:val="0"/>
          <w:numId w:val="6"/>
        </w:numPr>
        <w:tabs>
          <w:tab w:val="clear" w:pos="709"/>
          <w:tab w:val="left" w:pos="142" w:leader="none"/>
          <w:tab w:val="left" w:pos="1134" w:leader="none"/>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 </w:t>
      </w:r>
    </w:p>
    <w:p>
      <w:pPr>
        <w:pStyle w:val="Style22"/>
        <w:shd w:val="clear" w:color="auto" w:fill="auto"/>
        <w:tabs>
          <w:tab w:val="clear" w:pos="709"/>
          <w:tab w:val="left" w:pos="142" w:leader="none"/>
          <w:tab w:val="left" w:pos="1134" w:leader="none"/>
        </w:tabs>
        <w:spacing w:lineRule="auto" w:line="240" w:before="0" w:after="0"/>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Style13"/>
          <w:rFonts w:cs="Times New Roman" w:ascii="Times New Roman" w:hAnsi="Times New Roman"/>
          <w:color w:val="000000"/>
          <w:sz w:val="28"/>
          <w:szCs w:val="28"/>
        </w:rPr>
        <w:t>Доход от реализации имущества указывается в полном объеме без вычета "комиссионных" и иных подобных выплат.</w:t>
      </w:r>
    </w:p>
    <w:p>
      <w:pPr>
        <w:pStyle w:val="Style22"/>
        <w:shd w:val="clear" w:color="auto" w:fill="auto"/>
        <w:tabs>
          <w:tab w:val="clear" w:pos="709"/>
          <w:tab w:val="left" w:pos="142" w:leader="none"/>
          <w:tab w:val="left" w:pos="1134" w:leader="none"/>
        </w:tabs>
        <w:spacing w:lineRule="auto" w:line="240" w:before="0" w:after="0"/>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Style w:val="Style13"/>
          <w:rFonts w:cs="Times New Roman" w:ascii="Times New Roman" w:hAnsi="Times New Roman"/>
          <w:color w:val="000000"/>
          <w:sz w:val="28"/>
          <w:szCs w:val="28"/>
        </w:rPr>
        <w:t xml:space="preserve">При этом </w:t>
      </w:r>
      <w:r>
        <w:rPr>
          <w:rStyle w:val="Style13"/>
          <w:rFonts w:cs="Times New Roman" w:ascii="Times New Roman" w:hAnsi="Times New Roman"/>
          <w:sz w:val="28"/>
          <w:szCs w:val="28"/>
        </w:rPr>
        <w:t xml:space="preserve">рекомендуется </w:t>
      </w:r>
      <w:r>
        <w:rPr>
          <w:rStyle w:val="Style13"/>
          <w:rFonts w:cs="Times New Roman" w:ascii="Times New Roman" w:hAnsi="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cs="Times New Roman" w:ascii="Times New Roman" w:hAnsi="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cs="Times New Roman" w:ascii="Times New Roman" w:hAnsi="Times New Roman"/>
          <w:sz w:val="28"/>
          <w:szCs w:val="28"/>
        </w:rPr>
        <w:t>).</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Аналогично в отношении продажи имущества, находящегося в совместной собственности;</w:t>
      </w:r>
    </w:p>
    <w:p>
      <w:pPr>
        <w:pStyle w:val="Style22"/>
        <w:numPr>
          <w:ilvl w:val="0"/>
          <w:numId w:val="6"/>
        </w:numPr>
        <w:shd w:val="clear" w:color="auto" w:fill="auto"/>
        <w:tabs>
          <w:tab w:val="clear" w:pos="709"/>
          <w:tab w:val="left" w:pos="142" w:leader="none"/>
          <w:tab w:val="left" w:pos="710"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shd w:fill="auto" w:val="clear"/>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3"/>
          <w:rFonts w:cs="Times New Roman" w:ascii="Times New Roman" w:hAnsi="Times New Roman"/>
          <w:sz w:val="28"/>
          <w:szCs w:val="28"/>
        </w:rPr>
        <w:t xml:space="preserve">доходы по трудовым договорам по совместительству.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адрес места нахождения </w:t>
      </w:r>
      <w:r>
        <w:rPr>
          <w:rStyle w:val="111"/>
          <w:rFonts w:ascii="Times New Roman" w:hAnsi="Times New Roman"/>
          <w:color w:val="000000"/>
          <w:sz w:val="28"/>
          <w:szCs w:val="28"/>
        </w:rPr>
        <w:t xml:space="preserve">организации, от которой был получен доход;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3"/>
          <w:rFonts w:cs="Times New Roman" w:ascii="Times New Roman" w:hAnsi="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Style13"/>
          <w:rFonts w:ascii="Times New Roman" w:hAnsi="Times New Roman"/>
          <w:b/>
          <w:sz w:val="28"/>
        </w:rPr>
        <w:t>"Доход от ценных бумаг и долей участия в коммерческих организациях"</w:t>
      </w:r>
      <w:r>
        <w:rPr>
          <w:rStyle w:val="Style13"/>
          <w:rFonts w:cs="Times New Roman" w:ascii="Times New Roman" w:hAnsi="Times New Roman"/>
          <w:sz w:val="28"/>
          <w:szCs w:val="28"/>
        </w:rPr>
        <w:t>;</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color w:val="000000"/>
          <w:sz w:val="28"/>
          <w:szCs w:val="28"/>
        </w:rPr>
      </w:pPr>
      <w:r>
        <w:rPr>
          <w:rStyle w:val="Style13"/>
          <w:rFonts w:cs="Times New Roman" w:ascii="Times New Roman" w:hAnsi="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место нахождения </w:t>
      </w:r>
      <w:r>
        <w:rPr>
          <w:rStyle w:val="111"/>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1"/>
          <w:rFonts w:ascii="Times New Roman" w:hAnsi="Times New Roman"/>
          <w:color w:val="000000"/>
          <w:sz w:val="28"/>
          <w:szCs w:val="28"/>
        </w:rPr>
        <w:t xml:space="preserve">;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eastAsia="Times New Roman" w:cs="Times New Roman" w:ascii="Times New Roman" w:hAnsi="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eastAsia="Times New Roman" w:cs="Times New Roman" w:ascii="Times New Roman" w:hAnsi="Times New Roman"/>
          <w:sz w:val="28"/>
          <w:szCs w:val="28"/>
          <w:lang w:eastAsia="ru-RU"/>
        </w:rPr>
        <w:t xml:space="preserve"> подраздела 3.1 раздела 3 справки);</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Fonts w:eastAsia="Times New Roman" w:cs="Times New Roman" w:ascii="Times New Roman" w:hAnsi="Times New Roman"/>
          <w:sz w:val="28"/>
          <w:szCs w:val="28"/>
          <w:lang w:eastAsia="ru-RU"/>
        </w:rPr>
        <w:t>проценты по долговым обязательствам;</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денежные средства, полученные в порядке дарения или наследования. При этом рекомендуется указать</w:t>
      </w:r>
      <w:r>
        <w:rPr>
          <w:rStyle w:val="111"/>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cs="Times New Roman" w:ascii="Times New Roman" w:hAnsi="Times New Roman"/>
          <w:sz w:val="28"/>
          <w:szCs w:val="28"/>
        </w:rPr>
        <w:t>;</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возмещение вреда, причиненного увечьем или иным повреждением здоровья; </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выплаты, связанные с гибелью (смертью), выплаченные наследникам; </w:t>
      </w:r>
    </w:p>
    <w:p>
      <w:pPr>
        <w:pStyle w:val="ListParagraph"/>
        <w:numPr>
          <w:ilvl w:val="0"/>
          <w:numId w:val="6"/>
        </w:numPr>
        <w:tabs>
          <w:tab w:val="clear" w:pos="709"/>
          <w:tab w:val="left" w:pos="142" w:leader="none"/>
          <w:tab w:val="left" w:pos="1134" w:leader="none"/>
          <w:tab w:val="left" w:pos="1560" w:leader="none"/>
        </w:tabs>
        <w:ind w:left="0" w:firstLine="567"/>
        <w:rPr>
          <w:rFonts w:ascii="Times New Roman" w:hAnsi="Times New Roman"/>
          <w:sz w:val="28"/>
          <w:szCs w:val="28"/>
        </w:rPr>
      </w:pPr>
      <w:r>
        <w:rPr>
          <w:rFonts w:ascii="Times New Roman" w:hAnsi="Times New Roman"/>
          <w:sz w:val="28"/>
          <w:szCs w:val="28"/>
        </w:rPr>
        <w:t>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212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pPr>
        <w:pStyle w:val="Default"/>
        <w:numPr>
          <w:ilvl w:val="0"/>
          <w:numId w:val="6"/>
        </w:numPr>
        <w:tabs>
          <w:tab w:val="clear" w:pos="709"/>
          <w:tab w:val="left" w:pos="142" w:leader="none"/>
          <w:tab w:val="left" w:pos="1134" w:leader="none"/>
          <w:tab w:val="left" w:pos="1560" w:leader="none"/>
        </w:tabs>
        <w:ind w:left="0" w:firstLine="567"/>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основному месту работы"</w:t>
      </w:r>
      <w:r>
        <w:rPr>
          <w:color w:val="auto"/>
          <w:sz w:val="28"/>
          <w:szCs w:val="28"/>
        </w:rPr>
        <w:t xml:space="preserve">; </w:t>
      </w:r>
    </w:p>
    <w:p>
      <w:pPr>
        <w:pStyle w:val="ListParagraph"/>
        <w:numPr>
          <w:ilvl w:val="0"/>
          <w:numId w:val="6"/>
        </w:numPr>
        <w:tabs>
          <w:tab w:val="clear" w:pos="709"/>
          <w:tab w:val="left" w:pos="142" w:leader="none"/>
          <w:tab w:val="left" w:pos="1134" w:leader="none"/>
        </w:tabs>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pPr>
        <w:pStyle w:val="ListParagraph"/>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Style22"/>
        <w:numPr>
          <w:ilvl w:val="0"/>
          <w:numId w:val="6"/>
        </w:numPr>
        <w:shd w:val="clear" w:color="auto" w:fill="auto"/>
        <w:tabs>
          <w:tab w:val="clear" w:pos="709"/>
          <w:tab w:val="left" w:pos="142" w:leader="none"/>
          <w:tab w:val="left" w:pos="1276"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pPr>
        <w:pStyle w:val="Style22"/>
        <w:numPr>
          <w:ilvl w:val="0"/>
          <w:numId w:val="6"/>
        </w:numPr>
        <w:shd w:val="clear" w:color="auto" w:fill="auto"/>
        <w:tabs>
          <w:tab w:val="clear" w:pos="709"/>
          <w:tab w:val="left" w:pos="851"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cs="Times New Roman" w:ascii="Times New Roman" w:hAnsi="Times New Roman"/>
          <w:sz w:val="28"/>
          <w:szCs w:val="28"/>
        </w:rPr>
        <w:t>выплаты членам профсоюзных организаций, полученные от данных профсоюзных организаций;</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ascii="Times New Roman" w:hAnsi="Times New Roman"/>
          <w:b/>
          <w:sz w:val="28"/>
        </w:rPr>
        <w:t>"Доход от педагогической и научной деятельности</w:t>
      </w:r>
      <w:r>
        <w:rPr>
          <w:rFonts w:eastAsia="Times New Roman" w:ascii="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eastAsia="Times New Roman" w:ascii="Times New Roman" w:hAnsi="Times New Roman"/>
          <w:b/>
          <w:sz w:val="28"/>
          <w:szCs w:val="28"/>
          <w:lang w:eastAsia="ru-RU"/>
        </w:rPr>
        <w:t>"</w:t>
      </w:r>
      <w:r>
        <w:rPr>
          <w:rFonts w:ascii="Times New Roman" w:hAnsi="Times New Roman"/>
          <w:sz w:val="28"/>
          <w:szCs w:val="28"/>
        </w:rPr>
        <w:t>;</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 или в соответствии с пунктом 60 настоящих Методических рекомендаций);</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Style13"/>
          <w:rFonts w:cs="Times New Roman" w:ascii="Times New Roman" w:hAnsi="Times New Roman"/>
          <w:color w:val="000000"/>
          <w:sz w:val="28"/>
          <w:szCs w:val="28"/>
        </w:rPr>
        <w:t xml:space="preserve"> 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 объекты недвижимости;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ценных бумаг при ликвидации коммерческой организации;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иные аналогичные выплаты.</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 xml:space="preserve">Также в строке </w:t>
      </w:r>
      <w:r>
        <w:rPr>
          <w:rFonts w:ascii="Times New Roman" w:hAnsi="Times New Roman"/>
          <w:b/>
          <w:sz w:val="28"/>
        </w:rPr>
        <w:t xml:space="preserve">"Иные доходы" </w:t>
      </w:r>
      <w:r>
        <w:rPr>
          <w:rFonts w:eastAsia="Times New Roman" w:ascii="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pPr>
        <w:pStyle w:val="Normal"/>
        <w:ind w:firstLine="567"/>
        <w:rPr>
          <w:rFonts w:ascii="Times New Roman" w:hAnsi="Times New Roman" w:eastAsia="Times New Roman"/>
          <w:sz w:val="28"/>
          <w:szCs w:val="28"/>
        </w:rPr>
      </w:pPr>
      <w:r>
        <w:rPr>
          <w:rFonts w:eastAsia="Times New Roman" w:ascii="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 (с учетом положений пункта 54 настоящих Методических рекомендаций).</w:t>
      </w:r>
      <w:r>
        <w:rPr>
          <w:rFonts w:ascii="Times New Roman" w:hAnsi="Times New Roman"/>
          <w:sz w:val="28"/>
          <w:szCs w:val="28"/>
        </w:rPr>
        <w:t xml:space="preserve"> </w:t>
      </w:r>
      <w:r>
        <w:rPr>
          <w:rFonts w:eastAsia="Times New Roman" w:ascii="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пункта 54 настоящих Методических рекомендаций).</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pPr>
        <w:pStyle w:val="ListParagraph"/>
        <w:numPr>
          <w:ilvl w:val="0"/>
          <w:numId w:val="1"/>
        </w:numPr>
        <w:ind w:left="0" w:firstLine="567"/>
        <w:rPr>
          <w:rFonts w:ascii="Times New Roman" w:hAnsi="Times New Roman"/>
          <w:sz w:val="28"/>
          <w:szCs w:val="28"/>
        </w:rPr>
      </w:pPr>
      <w:r>
        <w:rPr>
          <w:rFonts w:eastAsia="Times New Roman" w:ascii="Times New Roman" w:hAnsi="Times New Roman"/>
          <w:sz w:val="28"/>
          <w:szCs w:val="28"/>
          <w:lang w:eastAsia="ru-RU"/>
        </w:rPr>
        <w:t>С учетом целей антико</w:t>
      </w:r>
      <w:r>
        <w:rPr>
          <w:rFonts w:eastAsia="Times New Roman" w:ascii="Times New Roman" w:hAnsi="Times New Roman"/>
          <w:color w:val="000000"/>
          <w:sz w:val="28"/>
          <w:szCs w:val="28"/>
          <w:lang w:eastAsia="ru-RU"/>
        </w:rPr>
        <w:t>р</w:t>
      </w:r>
      <w:r>
        <w:rPr>
          <w:rFonts w:eastAsia="Times New Roman" w:ascii="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eastAsia="Times New Roman" w:ascii="Times New Roman" w:hAnsi="Times New Roman"/>
          <w:b/>
          <w:sz w:val="28"/>
          <w:szCs w:val="28"/>
          <w:lang w:eastAsia="ru-RU"/>
        </w:rPr>
        <w:t xml:space="preserve"> не указываются </w:t>
      </w:r>
      <w:r>
        <w:rPr>
          <w:rFonts w:eastAsia="Times New Roman" w:ascii="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pPr>
        <w:pStyle w:val="Normal"/>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pPr>
        <w:pStyle w:val="Normal"/>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Normal"/>
        <w:ind w:firstLine="567"/>
        <w:rPr>
          <w:rFonts w:ascii="Times New Roman" w:hAnsi="Times New Roman"/>
          <w:sz w:val="28"/>
          <w:szCs w:val="28"/>
        </w:rPr>
      </w:pPr>
      <w:r>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pPr>
        <w:pStyle w:val="Normal"/>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pPr>
        <w:pStyle w:val="Normal"/>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pPr>
        <w:pStyle w:val="Normal"/>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pPr>
        <w:pStyle w:val="Normal"/>
        <w:ind w:firstLine="567"/>
        <w:rPr>
          <w:rFonts w:ascii="Times New Roman" w:hAnsi="Times New Roman"/>
          <w:sz w:val="28"/>
          <w:szCs w:val="28"/>
        </w:rPr>
      </w:pPr>
      <w:r>
        <w:rPr>
          <w:rFonts w:ascii="Times New Roman" w:hAnsi="Times New Roman"/>
          <w:sz w:val="28"/>
          <w:szCs w:val="28"/>
        </w:rPr>
        <w:t>7) с внесением родительской платы за посещение дошкольного образовательного учреждения;</w:t>
      </w:r>
    </w:p>
    <w:p>
      <w:pPr>
        <w:pStyle w:val="Normal"/>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pPr>
        <w:pStyle w:val="Normal"/>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pPr>
        <w:pStyle w:val="Normal"/>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торговли, салонами красоты и пр.;</w:t>
      </w:r>
    </w:p>
    <w:p>
      <w:pPr>
        <w:pStyle w:val="Normal"/>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 xml:space="preserve">"кешбэк сервис"), включая т.н. "туристический кешбэк", "детский кешбэк" и др.; </w:t>
      </w:r>
    </w:p>
    <w:p>
      <w:pPr>
        <w:pStyle w:val="Normal"/>
        <w:ind w:firstLine="567"/>
        <w:rPr>
          <w:rFonts w:ascii="Times New Roman" w:hAnsi="Times New Roman"/>
          <w:sz w:val="28"/>
          <w:szCs w:val="28"/>
        </w:rPr>
      </w:pPr>
      <w:r>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 иную помощь);</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Pr>
          <w:rStyle w:val="Style13"/>
          <w:rFonts w:cs="Times New Roman" w:ascii="Times New Roman" w:hAnsi="Times New Roman"/>
          <w:color w:val="000000"/>
          <w:sz w:val="28"/>
          <w:szCs w:val="28"/>
        </w:rPr>
        <w:t>кроме случая, предусмотренного пунктом 40 Методических рекомендаций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pStyle w:val="Normal"/>
        <w:tabs>
          <w:tab w:val="left" w:pos="709" w:leader="none"/>
        </w:tabs>
        <w:ind w:firstLine="567"/>
        <w:rPr>
          <w:rStyle w:val="Style13"/>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Style13"/>
          <w:rFonts w:cs="Times New Roman" w:ascii="Times New Roman" w:hAnsi="Times New Roman"/>
          <w:color w:val="000000"/>
          <w:sz w:val="28"/>
          <w:szCs w:val="28"/>
        </w:rPr>
        <w:t xml:space="preserve"> Федеральным законом</w:t>
      </w:r>
      <w:r>
        <w:rPr>
          <w:rFonts w:ascii="Times New Roman" w:hAnsi="Times New Roman"/>
          <w:sz w:val="28"/>
          <w:szCs w:val="28"/>
        </w:rPr>
        <w:t xml:space="preserve"> </w:t>
      </w:r>
      <w:r>
        <w:rPr>
          <w:rStyle w:val="Style13"/>
          <w:rFonts w:cs="Times New Roman" w:ascii="Times New Roman" w:hAnsi="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eastAsia="Times New Roman" w:ascii="Times New Roman" w:hAnsi="Times New Roman"/>
          <w:sz w:val="28"/>
          <w:szCs w:val="28"/>
          <w:lang w:eastAsia="ru-RU"/>
        </w:rPr>
        <w:t xml:space="preserve">не подлежит отражению в разделе 1 справки. </w:t>
      </w:r>
    </w:p>
    <w:p>
      <w:pPr>
        <w:pStyle w:val="ListParagraph"/>
        <w:ind w:left="0" w:firstLine="709"/>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pPr>
        <w:pStyle w:val="ListParagraph"/>
        <w:ind w:left="567" w:hanging="0"/>
        <w:rPr>
          <w:rFonts w:ascii="Times New Roman" w:hAnsi="Times New Roman"/>
          <w:sz w:val="28"/>
          <w:szCs w:val="28"/>
        </w:rPr>
      </w:pPr>
      <w:r>
        <w:rPr>
          <w:rFonts w:ascii="Times New Roman" w:hAnsi="Times New Roman"/>
          <w:sz w:val="28"/>
          <w:szCs w:val="28"/>
        </w:rPr>
      </w:r>
    </w:p>
    <w:p>
      <w:pPr>
        <w:pStyle w:val="Normal"/>
        <w:tabs>
          <w:tab w:val="left" w:pos="709" w:leader="none"/>
        </w:tabs>
        <w:ind w:hanging="0"/>
        <w:jc w:val="center"/>
        <w:rPr>
          <w:rFonts w:ascii="Times New Roman" w:hAnsi="Times New Roman"/>
          <w:b/>
          <w:sz w:val="28"/>
          <w:szCs w:val="28"/>
        </w:rPr>
      </w:pPr>
      <w:r>
        <w:rPr>
          <w:rFonts w:ascii="Times New Roman" w:hAnsi="Times New Roman"/>
          <w:b/>
          <w:sz w:val="28"/>
          <w:szCs w:val="28"/>
        </w:rPr>
        <w:t>РАЗДЕЛ 2. СВЕДЕНИЯ О РАСХОДАХ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2024 году сообщаются сведения о расходах по сделкам, совершенным в 2023 году. </w:t>
      </w:r>
    </w:p>
    <w:p>
      <w:pPr>
        <w:pStyle w:val="Normal"/>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 86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Граждане, поступающие на службу (работу), раздел 2 справки не заполняют.</w:t>
      </w:r>
    </w:p>
    <w:p>
      <w:pPr>
        <w:pStyle w:val="ListParagraph"/>
        <w:ind w:left="0" w:firstLine="567"/>
        <w:rPr>
          <w:rFonts w:ascii="Times New Roman" w:hAnsi="Times New Roman"/>
          <w:sz w:val="28"/>
          <w:szCs w:val="28"/>
        </w:rPr>
      </w:pPr>
      <w:r>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Заполнение данного раздела при отсутствии указанных в пункте 86 настоящих Методических рекомендаций оснований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2023 году, суммируются доходы служащего (работника) и его супруги (супруга), полученные в 2020, 2021 и 2022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Для цели реализации пункта 86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pPr>
        <w:pStyle w:val="ListParagraph"/>
        <w:ind w:left="0" w:firstLine="567"/>
        <w:rPr>
          <w:rFonts w:ascii="Times New Roman" w:hAnsi="Times New Roman"/>
          <w:sz w:val="28"/>
          <w:szCs w:val="28"/>
        </w:rPr>
      </w:pPr>
      <w:r>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pPr>
        <w:pStyle w:val="ListParagraph"/>
        <w:numPr>
          <w:ilvl w:val="0"/>
          <w:numId w:val="1"/>
        </w:numPr>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не заполняется</w:t>
      </w:r>
      <w:r>
        <w:rPr>
          <w:rFonts w:ascii="Times New Roman" w:hAnsi="Times New Roman"/>
          <w:sz w:val="28"/>
          <w:szCs w:val="28"/>
        </w:rPr>
        <w:t xml:space="preserve"> в следующих случаях:</w:t>
      </w:r>
    </w:p>
    <w:p>
      <w:pPr>
        <w:pStyle w:val="ListParagraph"/>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pPr>
        <w:pStyle w:val="Normal"/>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pPr>
        <w:pStyle w:val="Normal"/>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ConsPlusNormal"/>
        <w:numPr>
          <w:ilvl w:val="0"/>
          <w:numId w:val="1"/>
        </w:numPr>
        <w:ind w:left="0" w:firstLine="567"/>
        <w:jc w:val="both"/>
        <w:rPr/>
      </w:pPr>
      <w:r>
        <w:rPr/>
        <w:t xml:space="preserve">В графе </w:t>
      </w:r>
      <w:r>
        <w:rPr>
          <w:b/>
        </w:rPr>
        <w:t xml:space="preserve">"Основания приобретения имущества" </w:t>
      </w:r>
      <w:r>
        <w:rPr/>
        <w:t>указываются регистрационный номер и дата записи в Едином государственном реестре недвижимости (ЕГРН)</w:t>
      </w:r>
      <w:r>
        <w:rPr>
          <w:bCs/>
        </w:rPr>
        <w:t xml:space="preserve">. Также указываются </w:t>
      </w:r>
      <w:r>
        <w:rP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pPr>
        <w:pStyle w:val="ConsPlusNormal"/>
        <w:ind w:firstLine="567"/>
        <w:jc w:val="both"/>
        <w:rPr/>
      </w:pPr>
      <w:r>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pPr>
        <w:pStyle w:val="ConsPlusNormal"/>
        <w:ind w:firstLine="567"/>
        <w:jc w:val="both"/>
        <w:rPr/>
      </w:pPr>
      <w:r>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pPr>
        <w:pStyle w:val="ConsPlusNormal"/>
        <w:ind w:firstLine="567"/>
        <w:jc w:val="both"/>
        <w:rPr/>
      </w:pPr>
      <w:r>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pPr>
        <w:pStyle w:val="ConsPlusNormal"/>
        <w:numPr>
          <w:ilvl w:val="0"/>
          <w:numId w:val="1"/>
        </w:numPr>
        <w:ind w:left="0" w:firstLine="567"/>
        <w:jc w:val="both"/>
        <w:rPr/>
      </w:pPr>
      <w:r>
        <w:rPr>
          <w:b/>
        </w:rPr>
        <w:t>Особенности заполнения раздела "Сведения о расходах"</w:t>
      </w:r>
      <w:r>
        <w:rPr/>
        <w:t>:</w:t>
      </w:r>
    </w:p>
    <w:p>
      <w:pPr>
        <w:pStyle w:val="Normal"/>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pPr>
        <w:pStyle w:val="Normal"/>
        <w:ind w:firstLine="567"/>
        <w:rPr>
          <w:rFonts w:ascii="Times New Roman" w:hAnsi="Times New Roman"/>
          <w:sz w:val="28"/>
          <w:szCs w:val="28"/>
        </w:rPr>
      </w:pPr>
      <w:r>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pPr>
        <w:pStyle w:val="Normal"/>
        <w:ind w:firstLine="567"/>
        <w:rPr>
          <w:rFonts w:ascii="Times New Roman" w:hAnsi="Times New Roman"/>
          <w:sz w:val="28"/>
          <w:szCs w:val="28"/>
        </w:rPr>
      </w:pPr>
      <w:r>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pPr>
        <w:pStyle w:val="Normal"/>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pPr>
        <w:pStyle w:val="Normal"/>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pPr>
        <w:pStyle w:val="Normal"/>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Normal"/>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pPr>
        <w:pStyle w:val="Normal"/>
        <w:ind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eastAsia="Times New Roman"/>
          <w:b/>
          <w:sz w:val="28"/>
          <w:szCs w:val="28"/>
        </w:rPr>
      </w:pPr>
      <w:r>
        <w:rPr>
          <w:rFonts w:eastAsia="Times New Roman" w:ascii="Times New Roman" w:hAnsi="Times New Roman"/>
          <w:b/>
          <w:sz w:val="28"/>
          <w:szCs w:val="28"/>
          <w:lang w:eastAsia="ru-RU"/>
        </w:rPr>
        <w:t>РАЗДЕЛ 3. СВЕДЕНИЯ ОБ ИМУЩЕСТВЕ</w:t>
      </w:r>
    </w:p>
    <w:p>
      <w:pPr>
        <w:pStyle w:val="Normal"/>
        <w:ind w:firstLine="851"/>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rPr>
          <w:rFonts w:ascii="Times New Roman" w:hAnsi="Times New Roman" w:eastAsia="Times New Roman"/>
          <w:b/>
          <w:sz w:val="28"/>
          <w:szCs w:val="28"/>
        </w:rPr>
      </w:pPr>
      <w:r>
        <w:rPr>
          <w:rFonts w:eastAsia="Times New Roman" w:ascii="Times New Roman" w:hAnsi="Times New Roman"/>
          <w:b/>
          <w:sz w:val="28"/>
          <w:szCs w:val="28"/>
          <w:lang w:eastAsia="ru-RU"/>
        </w:rPr>
        <w:t>Подраздел 3.1 Недвижимое имущество</w:t>
      </w:r>
    </w:p>
    <w:p>
      <w:pPr>
        <w:pStyle w:val="ListParagraph"/>
        <w:ind w:left="567" w:hanging="0"/>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pPr>
        <w:pStyle w:val="Normal"/>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пунктом 121 настоящих Методических рекомендаций).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pPr>
        <w:pStyle w:val="ListParagraph"/>
        <w:ind w:left="0" w:firstLine="567"/>
        <w:rPr>
          <w:rFonts w:ascii="Times New Roman" w:hAnsi="Times New Roman"/>
          <w:sz w:val="28"/>
          <w:szCs w:val="28"/>
        </w:rPr>
      </w:pPr>
      <w:r>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пунктом 121 настоящих Методических рекомендаций).</w:t>
      </w:r>
    </w:p>
    <w:p>
      <w:pPr>
        <w:pStyle w:val="ListParagraph"/>
        <w:numPr>
          <w:ilvl w:val="0"/>
          <w:numId w:val="1"/>
        </w:numPr>
        <w:ind w:left="0" w:firstLine="709"/>
        <w:outlineLvl w:val="1"/>
        <w:rPr>
          <w:rFonts w:ascii="Times New Roman" w:hAnsi="Times New Roman"/>
          <w:sz w:val="28"/>
          <w:szCs w:val="28"/>
        </w:rPr>
      </w:pPr>
      <w:r>
        <w:rPr>
          <w:rFonts w:ascii="Times New Roman" w:hAnsi="Times New Roman"/>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pPr>
        <w:pStyle w:val="ListParagraph"/>
        <w:numPr>
          <w:ilvl w:val="0"/>
          <w:numId w:val="1"/>
        </w:numPr>
        <w:ind w:left="0" w:firstLine="567"/>
        <w:outlineLvl w:val="1"/>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ListParagraph"/>
        <w:numPr>
          <w:ilvl w:val="0"/>
          <w:numId w:val="1"/>
        </w:numPr>
        <w:ind w:left="0" w:firstLine="567"/>
        <w:outlineLvl w:val="1"/>
        <w:rPr>
          <w:rFonts w:ascii="Times New Roman" w:hAnsi="Times New Roman"/>
          <w:sz w:val="28"/>
          <w:szCs w:val="28"/>
        </w:rPr>
      </w:pPr>
      <w:r>
        <w:rPr>
          <w:rStyle w:val="Style13"/>
          <w:rFonts w:cs="Times New Roman" w:ascii="Times New Roman" w:hAnsi="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ListParagraph"/>
        <w:ind w:left="0" w:firstLine="567"/>
        <w:rPr>
          <w:rFonts w:ascii="Times New Roman" w:hAnsi="Times New Roman"/>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pStyle w:val="Normal"/>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pPr>
        <w:pStyle w:val="ListParagraph"/>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color w:val="000000"/>
          <w:sz w:val="28"/>
          <w:szCs w:val="28"/>
        </w:rPr>
        <w:t xml:space="preserve">При наличии в собственности </w:t>
      </w:r>
      <w:r>
        <w:rPr>
          <w:rStyle w:val="Style13"/>
          <w:rFonts w:cs="Times New Roman" w:ascii="Times New Roman" w:hAnsi="Times New Roman"/>
          <w:b/>
          <w:color w:val="000000"/>
          <w:sz w:val="28"/>
          <w:szCs w:val="28"/>
        </w:rPr>
        <w:t>жилого или садового дома,</w:t>
      </w:r>
      <w:r>
        <w:rPr>
          <w:rStyle w:val="Style13"/>
          <w:rFonts w:cs="Times New Roman" w:ascii="Times New Roman" w:hAnsi="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Style w:val="Style13"/>
          <w:rFonts w:cs="Times New Roman" w:ascii="Times New Roman" w:hAnsi="Times New Roman"/>
          <w:color w:val="000000"/>
          <w:sz w:val="28"/>
          <w:szCs w:val="28"/>
        </w:rPr>
        <w:t>В строке "</w:t>
      </w:r>
      <w:r>
        <w:rPr>
          <w:rStyle w:val="Style13"/>
          <w:rFonts w:cs="Times New Roman" w:ascii="Times New Roman" w:hAnsi="Times New Roman"/>
          <w:b/>
          <w:color w:val="000000"/>
          <w:sz w:val="28"/>
          <w:szCs w:val="28"/>
        </w:rPr>
        <w:t>Гаражи</w:t>
      </w:r>
      <w:r>
        <w:rPr>
          <w:rStyle w:val="Style13"/>
          <w:rFonts w:cs="Times New Roman" w:ascii="Times New Roman" w:hAnsi="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"м</w:t>
      </w:r>
      <w:r>
        <w:rPr>
          <w:rStyle w:val="Style13"/>
          <w:rFonts w:cs="Times New Roman" w:ascii="Times New Roman" w:hAnsi="Times New Roman"/>
          <w:color w:val="000000"/>
          <w:sz w:val="28"/>
          <w:szCs w:val="28"/>
        </w:rPr>
        <w:t xml:space="preserve">ашино-место" и другие 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Style13"/>
          <w:rFonts w:cs="Times New Roman" w:ascii="Times New Roman" w:hAnsi="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pPr>
        <w:pStyle w:val="Normal"/>
        <w:ind w:firstLine="567"/>
        <w:rPr>
          <w:rFonts w:ascii="Times New Roman" w:hAnsi="Times New Roman"/>
          <w:sz w:val="28"/>
          <w:szCs w:val="28"/>
        </w:rPr>
      </w:pPr>
      <w:r>
        <w:rPr>
          <w:rFonts w:ascii="Times New Roman" w:hAnsi="Times New Roman"/>
          <w:sz w:val="28"/>
          <w:szCs w:val="28"/>
        </w:rPr>
        <w:t>1) субъект Российской Федерации;</w:t>
      </w:r>
    </w:p>
    <w:p>
      <w:pPr>
        <w:pStyle w:val="Normal"/>
        <w:ind w:firstLine="567"/>
        <w:rPr>
          <w:rFonts w:ascii="Times New Roman" w:hAnsi="Times New Roman"/>
          <w:sz w:val="28"/>
          <w:szCs w:val="28"/>
        </w:rPr>
      </w:pPr>
      <w:r>
        <w:rPr>
          <w:rFonts w:ascii="Times New Roman" w:hAnsi="Times New Roman"/>
          <w:sz w:val="28"/>
          <w:szCs w:val="28"/>
        </w:rPr>
        <w:t>2) район;</w:t>
      </w:r>
    </w:p>
    <w:p>
      <w:pPr>
        <w:pStyle w:val="Normal"/>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pPr>
        <w:pStyle w:val="Normal"/>
        <w:ind w:firstLine="567"/>
        <w:rPr>
          <w:rFonts w:ascii="Times New Roman" w:hAnsi="Times New Roman"/>
          <w:sz w:val="28"/>
          <w:szCs w:val="28"/>
        </w:rPr>
      </w:pPr>
      <w:r>
        <w:rPr>
          <w:rFonts w:ascii="Times New Roman" w:hAnsi="Times New Roman"/>
          <w:sz w:val="28"/>
          <w:szCs w:val="28"/>
        </w:rPr>
        <w:t>4) улица (проспект, переулок и т.д.);</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5) номер дома (владения, участка), корпуса (строения), квартиры.</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Также рекомендуется указывать индекс.</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pPr>
        <w:pStyle w:val="Normal"/>
        <w:ind w:firstLine="567"/>
        <w:rPr>
          <w:rFonts w:ascii="Times New Roman" w:hAnsi="Times New Roman"/>
          <w:sz w:val="28"/>
          <w:szCs w:val="28"/>
        </w:rPr>
      </w:pPr>
      <w:r>
        <w:rPr>
          <w:rFonts w:ascii="Times New Roman" w:hAnsi="Times New Roman"/>
          <w:sz w:val="28"/>
          <w:szCs w:val="28"/>
        </w:rPr>
        <w:t>1) наименование государства;</w:t>
      </w:r>
    </w:p>
    <w:p>
      <w:pPr>
        <w:pStyle w:val="Normal"/>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pPr>
        <w:pStyle w:val="Normal"/>
        <w:ind w:firstLine="567"/>
        <w:rPr>
          <w:rFonts w:ascii="Times New Roman" w:hAnsi="Times New Roman"/>
          <w:strike/>
          <w:sz w:val="28"/>
          <w:szCs w:val="28"/>
        </w:rPr>
      </w:pPr>
      <w:r>
        <w:rPr>
          <w:rFonts w:ascii="Times New Roman" w:hAnsi="Times New Roman"/>
          <w:sz w:val="28"/>
          <w:szCs w:val="28"/>
        </w:rPr>
        <w:t>3) почтовый адрес.</w:t>
      </w:r>
    </w:p>
    <w:p>
      <w:pPr>
        <w:pStyle w:val="ListParagraph"/>
        <w:numPr>
          <w:ilvl w:val="0"/>
          <w:numId w:val="1"/>
        </w:numPr>
        <w:ind w:left="0" w:firstLine="567"/>
        <w:rPr>
          <w:rStyle w:val="Style13"/>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Style13"/>
          <w:rFonts w:cs="Times New Roman" w:ascii="Times New Roman" w:hAnsi="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ListParagraph"/>
        <w:numPr>
          <w:ilvl w:val="0"/>
          <w:numId w:val="1"/>
        </w:numPr>
        <w:ind w:left="0" w:firstLine="567"/>
        <w:rPr>
          <w:rStyle w:val="Style13"/>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ListParagraph"/>
        <w:ind w:left="0" w:firstLine="567"/>
        <w:rPr>
          <w:rFonts w:ascii="Times New Roman" w:hAnsi="Times New Roman"/>
          <w:b/>
          <w:sz w:val="28"/>
          <w:szCs w:val="28"/>
        </w:rPr>
      </w:pPr>
      <w:r>
        <w:rPr>
          <w:rFonts w:ascii="Times New Roman" w:hAnsi="Times New Roman"/>
          <w:b/>
          <w:sz w:val="28"/>
          <w:szCs w:val="28"/>
        </w:rPr>
        <w:t>Основание приобретения и источники средств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pPr>
        <w:pStyle w:val="ListParagraph"/>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19" w:tgtFrame="https://lk.rosreestr.ru/eservices/real-estate-objects-online">
        <w:r>
          <w:rPr>
            <w:rStyle w:val="-"/>
            <w:rFonts w:ascii="Times New Roman" w:hAnsi="Times New Roman"/>
            <w:sz w:val="28"/>
            <w:szCs w:val="28"/>
          </w:rPr>
          <w:t>https://lk.rosreestr.ru/eservices/real-estate-objects-online</w:t>
        </w:r>
      </w:hyperlink>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ListParagraph"/>
        <w:ind w:left="0" w:firstLine="567"/>
        <w:rPr>
          <w:rFonts w:ascii="Times New Roman" w:hAnsi="Times New Roman"/>
          <w:sz w:val="28"/>
          <w:szCs w:val="28"/>
        </w:rPr>
      </w:pPr>
      <w:r>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77:02:0014017:1994-72/004/2023-2 от 27 марта 2023 г.; договор купли-продажи от 19 февраля 2023 г. или иное.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pPr>
        <w:pStyle w:val="ListParagraph"/>
        <w:ind w:left="0" w:firstLine="567"/>
        <w:rPr>
          <w:rFonts w:ascii="Times New Roman" w:hAnsi="Times New Roman"/>
          <w:sz w:val="28"/>
          <w:szCs w:val="28"/>
        </w:rPr>
      </w:pPr>
      <w:r>
        <w:rPr>
          <w:rFonts w:ascii="Times New Roman" w:hAnsi="Times New Roman"/>
          <w:sz w:val="28"/>
          <w:szCs w:val="28"/>
        </w:rPr>
        <w:t>1) на лиц, замещающих (занимающих):</w:t>
      </w:r>
    </w:p>
    <w:p>
      <w:pPr>
        <w:pStyle w:val="ListParagraph"/>
        <w:ind w:left="0" w:firstLine="567"/>
        <w:rPr>
          <w:rFonts w:ascii="Times New Roman" w:hAnsi="Times New Roman"/>
          <w:sz w:val="28"/>
          <w:szCs w:val="28"/>
        </w:rPr>
      </w:pPr>
      <w:bookmarkStart w:id="1" w:name="Par1"/>
      <w:bookmarkEnd w:id="1"/>
      <w:r>
        <w:rPr>
          <w:rFonts w:ascii="Times New Roman" w:hAnsi="Times New Roman"/>
          <w:sz w:val="28"/>
          <w:szCs w:val="28"/>
        </w:rPr>
        <w:t>государственные должности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органов исполнительной власти;</w:t>
      </w:r>
    </w:p>
    <w:p>
      <w:pPr>
        <w:pStyle w:val="ListParagraph"/>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ConsPlusNormal"/>
        <w:ind w:firstLine="567"/>
        <w:jc w:val="both"/>
        <w:rPr/>
      </w:pPr>
      <w:bookmarkStart w:id="2" w:name="Par8"/>
      <w:bookmarkEnd w:id="2"/>
      <w:r>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ConsPlusNormal"/>
        <w:ind w:firstLine="567"/>
        <w:jc w:val="both"/>
        <w:rPr/>
      </w:pPr>
      <w:r>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pPr>
        <w:pStyle w:val="ListParagraph"/>
        <w:ind w:left="0" w:firstLine="567"/>
        <w:rPr>
          <w:rFonts w:ascii="Times New Roman" w:hAnsi="Times New Roman"/>
          <w:sz w:val="28"/>
          <w:szCs w:val="28"/>
        </w:rPr>
      </w:pPr>
      <w:r>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pPr>
        <w:pStyle w:val="ListParagraph"/>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территории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ListParagraph"/>
        <w:ind w:left="0" w:firstLine="567"/>
        <w:rPr>
          <w:rFonts w:ascii="Times New Roman" w:hAnsi="Times New Roman"/>
          <w:b/>
          <w:sz w:val="28"/>
          <w:szCs w:val="28"/>
        </w:rPr>
      </w:pPr>
      <w:r>
        <w:rPr>
          <w:rFonts w:ascii="Times New Roman" w:hAnsi="Times New Roman"/>
          <w:b/>
          <w:sz w:val="28"/>
          <w:szCs w:val="28"/>
        </w:rPr>
        <w:t>Подраздел 3.2. Транспортные средства</w:t>
      </w:r>
    </w:p>
    <w:p>
      <w:pPr>
        <w:pStyle w:val="ListParagraph"/>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2023 года включительно продал легковой автомобиль, а новый собственник зарегистрировал такое транспортное средство только в январе 2024 года, то данный объект не подлежит отражению в подразделе 3.2 раздела 3 справки служащего.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20" w:tgtFrame="https://www.gibdd.ru/r/77/contacts/div1145039/">
        <w:r>
          <w:rPr>
            <w:rFonts w:eastAsia="Times New Roman" w:ascii="Times New Roman" w:hAnsi="Times New Roman"/>
            <w:bCs/>
            <w:sz w:val="28"/>
            <w:szCs w:val="28"/>
            <w:lang w:eastAsia="ru-RU"/>
          </w:rPr>
          <w:t>МО ГИБДД ТНРЭР № 2 ГУ МВД России по г. Москве</w:t>
        </w:r>
      </w:hyperlink>
      <w:r>
        <w:rPr>
          <w:rFonts w:eastAsia="Times New Roman" w:ascii="Times New Roman" w:hAnsi="Times New Roman"/>
          <w:sz w:val="28"/>
          <w:szCs w:val="28"/>
          <w:lang w:eastAsia="ru-RU"/>
        </w:rPr>
        <w:t xml:space="preserve">, </w:t>
      </w:r>
      <w:hyperlink r:id="rId21" w:tgtFrame="https://www.gibdd.ru/r/66/contacts/div1165058/">
        <w:r>
          <w:rPr>
            <w:rFonts w:eastAsia="Times New Roman" w:ascii="Times New Roman" w:hAnsi="Times New Roman"/>
            <w:bCs/>
            <w:sz w:val="28"/>
            <w:szCs w:val="28"/>
            <w:lang w:eastAsia="ru-RU"/>
          </w:rPr>
          <w:t>ОГИБДД ММО МВД России "Шалинский</w:t>
        </w:r>
      </w:hyperlink>
      <w:r>
        <w:rPr>
          <w:rFonts w:eastAsia="Times New Roman" w:ascii="Times New Roman" w:hAnsi="Times New Roman"/>
          <w:sz w:val="28"/>
          <w:szCs w:val="28"/>
          <w:lang w:eastAsia="ru-RU"/>
        </w:rPr>
        <w:t xml:space="preserve">", </w:t>
      </w:r>
      <w:hyperlink r:id="rId22" w:tgtFrame="https://www.gibdd.ru/r/66/contacts/div1165043/">
        <w:r>
          <w:rPr>
            <w:rFonts w:eastAsia="Times New Roman" w:ascii="Times New Roman" w:hAnsi="Times New Roman"/>
            <w:bCs/>
            <w:sz w:val="28"/>
            <w:szCs w:val="28"/>
            <w:lang w:eastAsia="ru-RU"/>
          </w:rPr>
          <w:t>ОГИБДД ММО МВД России по Новолялинскому району</w:t>
        </w:r>
      </w:hyperlink>
      <w:r>
        <w:rPr>
          <w:rFonts w:eastAsia="Times New Roman" w:ascii="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eastAsia="Times New Roman" w:ascii="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eastAsia="Times New Roman" w:ascii="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p>
    <w:p>
      <w:pPr>
        <w:pStyle w:val="ListParagraph"/>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pPr>
        <w:pStyle w:val="Normal"/>
        <w:ind w:firstLine="567"/>
        <w:rPr>
          <w:rFonts w:ascii="Times New Roman" w:hAnsi="Times New Roman"/>
          <w:b/>
          <w:sz w:val="28"/>
          <w:szCs w:val="28"/>
        </w:rPr>
      </w:pPr>
      <w:r>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pPr>
        <w:pStyle w:val="Normal"/>
        <w:widowControl w:val="false"/>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Наименование цифрового финансового актива или цифрового права</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Style13"/>
          <w:rFonts w:cs="Times New Roman" w:ascii="Times New Roman" w:hAnsi="Times New Roman"/>
          <w:sz w:val="28"/>
          <w:szCs w:val="28"/>
          <w:shd w:fill="auto" w:val="clear"/>
        </w:rPr>
        <w:t xml:space="preserve"> или иного цифрового права.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Общее количество</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Style13"/>
          <w:rFonts w:cs="Times New Roman" w:ascii="Times New Roman" w:hAnsi="Times New Roman"/>
          <w:sz w:val="28"/>
          <w:szCs w:val="28"/>
          <w:shd w:fill="auto" w:val="clear"/>
        </w:rPr>
        <w:t xml:space="preserve"> или цифровых прав.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Сведения об операторе информационной системы, в которой осуществляется выпуск цифровых финансовых активов</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3">
        <w:r>
          <w:rPr>
            <w:rStyle w:val="-"/>
            <w:rFonts w:ascii="Times New Roman" w:hAnsi="Times New Roman"/>
            <w:sz w:val="28"/>
            <w:szCs w:val="28"/>
          </w:rPr>
          <w:t>https://cbr.ru/vfs/registers/infr/list_OIS.xlsx</w:t>
        </w:r>
      </w:hyperlink>
      <w:r>
        <w:rPr>
          <w:rStyle w:val="Style13"/>
          <w:rFonts w:cs="Times New Roman" w:ascii="Times New Roman" w:hAnsi="Times New Roman"/>
          <w:sz w:val="28"/>
          <w:szCs w:val="28"/>
          <w:shd w:fill="auto" w:val="clear"/>
        </w:rPr>
        <w:t>.</w:t>
      </w:r>
    </w:p>
    <w:p>
      <w:pPr>
        <w:pStyle w:val="Normal"/>
        <w:ind w:firstLine="567"/>
        <w:rPr>
          <w:rFonts w:ascii="Times New Roman" w:hAnsi="Times New Roman"/>
          <w:sz w:val="28"/>
          <w:szCs w:val="28"/>
        </w:rPr>
      </w:pPr>
      <w:r>
        <w:rPr>
          <w:rFonts w:ascii="Times New Roman" w:hAnsi="Times New Roman"/>
          <w:b/>
          <w:sz w:val="28"/>
          <w:szCs w:val="28"/>
        </w:rPr>
        <w:t>Подраздел 3.4. Утилитарные цифровые права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1) право требовать передачи вещи (вещей) (например, право требования золота в слитках при инвестировании в добычу золота); </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pPr>
        <w:pStyle w:val="ListParagraph"/>
        <w:widowControl w:val="false"/>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Уникальное условное обозначение</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уникальное условное обозначение, идентифицирующее утилитарное цифровое право.</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утилитарного цифрового права.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Объем инвестиций (руб.)</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Style13"/>
          <w:rFonts w:cs="Times New Roman" w:ascii="Times New Roman" w:hAnsi="Times New Roman"/>
          <w:sz w:val="28"/>
          <w:szCs w:val="28"/>
          <w:shd w:fill="auto" w:val="clear"/>
        </w:rPr>
        <w:t xml:space="preserve">Инвестиции, выраженные в иностранной валюте, указываются в рублях по курсу Банка России на дату их осуществления </w:t>
      </w:r>
      <w:r>
        <w:rPr>
          <w:rFonts w:eastAsia="Times New Roman" w:ascii="Times New Roman" w:hAnsi="Times New Roman"/>
          <w:sz w:val="28"/>
          <w:szCs w:val="28"/>
          <w:lang w:eastAsia="ru-RU"/>
        </w:rPr>
        <w:t>(с учетом положений пункта 54 настоящих Методических рекомендаций)</w:t>
      </w:r>
      <w:r>
        <w:rPr>
          <w:rStyle w:val="Style13"/>
          <w:rFonts w:cs="Times New Roman" w:ascii="Times New Roman" w:hAnsi="Times New Roman"/>
          <w:sz w:val="28"/>
          <w:szCs w:val="28"/>
          <w:shd w:fill="auto" w:val="clear"/>
        </w:rPr>
        <w:t>.</w:t>
      </w:r>
    </w:p>
    <w:p>
      <w:pPr>
        <w:pStyle w:val="Normal"/>
        <w:widowControl w:val="false"/>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Сведения об операторе инвестиционной платформы</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Реестр операторов инвестиционных платформ размещен на официальном сайте Банка России по ссылке: </w:t>
      </w:r>
      <w:hyperlink r:id="rId24">
        <w:r>
          <w:rPr>
            <w:rStyle w:val="-"/>
            <w:rFonts w:ascii="Times New Roman" w:hAnsi="Times New Roman"/>
            <w:sz w:val="28"/>
            <w:szCs w:val="28"/>
          </w:rPr>
          <w:t>https://cbr.ru/vfs/registers/infr/list_invest_platform_op.xlsx</w:t>
        </w:r>
      </w:hyperlink>
      <w:r>
        <w:rPr>
          <w:rFonts w:ascii="Times New Roman" w:hAnsi="Times New Roman"/>
          <w:sz w:val="28"/>
          <w:szCs w:val="28"/>
        </w:rPr>
        <w:t xml:space="preserve">. </w:t>
      </w:r>
    </w:p>
    <w:p>
      <w:pPr>
        <w:pStyle w:val="ListParagraph"/>
        <w:widowControl w:val="false"/>
        <w:ind w:left="0" w:firstLine="567"/>
        <w:rPr>
          <w:rStyle w:val="Style13"/>
          <w:rFonts w:ascii="Times New Roman" w:hAnsi="Times New Roman" w:cs="Times New Roman"/>
          <w:sz w:val="28"/>
          <w:szCs w:val="28"/>
          <w:shd w:fill="auto" w:val="clear"/>
        </w:rPr>
      </w:pPr>
      <w:r>
        <w:rPr>
          <w:rFonts w:ascii="Times New Roman" w:hAnsi="Times New Roman"/>
          <w:b/>
          <w:sz w:val="28"/>
          <w:szCs w:val="28"/>
        </w:rPr>
        <w:t>Подраздел 3.5. Цифровая валюта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Примерами цифровой валюты являются: Биткоин (BTC), Эфириум (ETH), Тезер (USDT) и др.</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Наименование цифровой валюты</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цифровой валюты.</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цифровой валюты может совпадать с датой транзакции, то есть с датой передачи цифровой валюты от одного лица другому.</w:t>
      </w:r>
    </w:p>
    <w:p>
      <w:pPr>
        <w:pStyle w:val="ListParagraph"/>
        <w:widowControl w:val="false"/>
        <w:numPr>
          <w:ilvl w:val="0"/>
          <w:numId w:val="1"/>
        </w:numPr>
        <w:ind w:left="0" w:firstLine="567"/>
        <w:rPr>
          <w:rFonts w:ascii="Times New Roman" w:hAnsi="Times New Roman"/>
          <w:b/>
          <w:sz w:val="28"/>
          <w:szCs w:val="28"/>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Общее количество</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точное количество цифровой валюты, находящейся в собственности (без округления). </w:t>
      </w:r>
    </w:p>
    <w:p>
      <w:pPr>
        <w:pStyle w:val="ListParagraph"/>
        <w:ind w:left="0"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 xml:space="preserve">РАЗДЕЛ 4. СВЕДЕНИЯ О СЧЕТАХ В БАНКАХ </w:t>
      </w:r>
    </w:p>
    <w:p>
      <w:pPr>
        <w:pStyle w:val="Normal"/>
        <w:ind w:hanging="0"/>
        <w:jc w:val="center"/>
        <w:rPr>
          <w:rFonts w:ascii="Times New Roman" w:hAnsi="Times New Roman"/>
          <w:b/>
          <w:sz w:val="28"/>
          <w:szCs w:val="28"/>
        </w:rPr>
      </w:pPr>
      <w:r>
        <w:rPr>
          <w:rFonts w:ascii="Times New Roman" w:hAnsi="Times New Roman"/>
          <w:b/>
          <w:sz w:val="28"/>
          <w:szCs w:val="28"/>
        </w:rPr>
        <w:t>И ИНЫХ КРЕДИТНЫХ ОРГАНИЗАЦИЯХ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pPr>
        <w:pStyle w:val="Normal"/>
        <w:tabs>
          <w:tab w:val="clear" w:pos="709"/>
          <w:tab w:val="left" w:pos="567" w:leader="none"/>
          <w:tab w:val="left" w:pos="993" w:leader="none"/>
        </w:tabs>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 </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Pr>
          <w:rFonts w:ascii="Times New Roman" w:hAnsi="Times New Roman"/>
          <w:sz w:val="28"/>
          <w:szCs w:val="28"/>
        </w:rPr>
        <w:t>арта может быть не привязана к счету, например, при открытии "Пушкинской карты" и др.</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pPr>
        <w:pStyle w:val="ListParagraph"/>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pPr>
        <w:pStyle w:val="ListParagraph"/>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pPr>
        <w:pStyle w:val="Normal"/>
        <w:numPr>
          <w:ilvl w:val="0"/>
          <w:numId w:val="0"/>
        </w:numPr>
        <w:ind w:left="0" w:firstLine="567"/>
        <w:outlineLvl w:val="1"/>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для погашения кредита;</w:t>
      </w:r>
    </w:p>
    <w:p>
      <w:pPr>
        <w:pStyle w:val="ListParagraph"/>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pPr>
        <w:pStyle w:val="ListParagraph"/>
        <w:ind w:left="0" w:firstLine="567"/>
        <w:rPr>
          <w:rFonts w:ascii="Times New Roman" w:hAnsi="Times New Roman"/>
          <w:sz w:val="28"/>
          <w:szCs w:val="28"/>
        </w:rPr>
      </w:pPr>
      <w:r>
        <w:rPr>
          <w:rFonts w:ascii="Times New Roman" w:hAnsi="Times New Roman"/>
          <w:sz w:val="28"/>
          <w:szCs w:val="28"/>
        </w:rPr>
        <w:t>6) счета, открытые гражданам, зарегистрированным в качестве индивидуальных предпринимателей;</w:t>
      </w:r>
    </w:p>
    <w:p>
      <w:pPr>
        <w:pStyle w:val="ListParagraph"/>
        <w:ind w:left="0" w:firstLine="567"/>
        <w:rPr>
          <w:rFonts w:ascii="Times New Roman" w:hAnsi="Times New Roman"/>
          <w:sz w:val="28"/>
          <w:szCs w:val="28"/>
        </w:rPr>
      </w:pPr>
      <w:r>
        <w:rPr>
          <w:rFonts w:ascii="Times New Roman" w:hAnsi="Times New Roman"/>
          <w:sz w:val="28"/>
          <w:szCs w:val="28"/>
        </w:rPr>
        <w:t>7) номинальный счет;</w:t>
      </w:r>
    </w:p>
    <w:p>
      <w:pPr>
        <w:pStyle w:val="ListParagraph"/>
        <w:ind w:left="0" w:firstLine="567"/>
        <w:rPr>
          <w:rFonts w:ascii="Times New Roman" w:hAnsi="Times New Roman"/>
          <w:sz w:val="28"/>
          <w:szCs w:val="28"/>
        </w:rPr>
      </w:pPr>
      <w:r>
        <w:rPr>
          <w:rFonts w:ascii="Times New Roman" w:hAnsi="Times New Roman"/>
          <w:sz w:val="28"/>
          <w:szCs w:val="28"/>
        </w:rPr>
        <w:t>8) счет эскроу;</w:t>
      </w:r>
    </w:p>
    <w:p>
      <w:pPr>
        <w:pStyle w:val="ListParagraph"/>
        <w:ind w:left="0" w:firstLine="567"/>
        <w:rPr>
          <w:rFonts w:ascii="Times New Roman" w:hAnsi="Times New Roman"/>
          <w:sz w:val="28"/>
          <w:szCs w:val="28"/>
        </w:rPr>
      </w:pPr>
      <w:r>
        <w:rPr>
          <w:rFonts w:ascii="Times New Roman" w:hAnsi="Times New Roman"/>
          <w:sz w:val="28"/>
          <w:szCs w:val="28"/>
        </w:rPr>
        <w:t>9) счет цифрового рубля.</w:t>
      </w:r>
    </w:p>
    <w:p>
      <w:pPr>
        <w:pStyle w:val="Annotationtext"/>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5" w:tgtFrame="https://www.cbr.ru/hd_base/metall/metall_base_new/">
        <w:r>
          <w:rPr>
            <w:rStyle w:val="-"/>
            <w:rFonts w:ascii="Times New Roman" w:hAnsi="Times New Roman"/>
            <w:sz w:val="28"/>
            <w:szCs w:val="28"/>
          </w:rPr>
          <w:t>https://www.cbr.ru/hd_base/metall/metall_base_new/</w:t>
        </w:r>
      </w:hyperlink>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pPr>
        <w:pStyle w:val="ListParagraph"/>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ListParagraph"/>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pPr>
        <w:pStyle w:val="ListParagraph"/>
        <w:ind w:left="0" w:firstLine="567"/>
        <w:rPr>
          <w:rFonts w:ascii="Times New Roman" w:hAnsi="Times New Roman"/>
          <w:sz w:val="28"/>
          <w:szCs w:val="28"/>
        </w:rPr>
      </w:pPr>
      <w:r>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pPr>
        <w:pStyle w:val="ListParagraph"/>
        <w:ind w:left="0" w:firstLine="567"/>
        <w:rPr>
          <w:rFonts w:ascii="Times New Roman" w:hAnsi="Times New Roman"/>
          <w:sz w:val="28"/>
          <w:szCs w:val="28"/>
        </w:rPr>
      </w:pPr>
      <w:r>
        <w:rPr>
          <w:rFonts w:ascii="Times New Roman" w:hAnsi="Times New Roman"/>
          <w:sz w:val="28"/>
          <w:szCs w:val="28"/>
        </w:rPr>
        <w:t>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212 настоящих Методических рекомендаций.</w:t>
      </w:r>
    </w:p>
    <w:p>
      <w:pPr>
        <w:pStyle w:val="ListParagraph"/>
        <w:ind w:left="0" w:firstLine="567"/>
        <w:rPr>
          <w:rFonts w:ascii="Times New Roman" w:hAnsi="Times New Roman"/>
          <w:sz w:val="28"/>
          <w:szCs w:val="28"/>
        </w:rPr>
      </w:pPr>
      <w:r>
        <w:rPr>
          <w:rFonts w:ascii="Times New Roman" w:hAnsi="Times New Roman"/>
          <w:sz w:val="28"/>
          <w:szCs w:val="28"/>
        </w:rPr>
        <w:t>7) синтетические счета.</w:t>
      </w:r>
    </w:p>
    <w:p>
      <w:pPr>
        <w:pStyle w:val="ListParagraph"/>
        <w:numPr>
          <w:ilvl w:val="0"/>
          <w:numId w:val="1"/>
        </w:numPr>
        <w:ind w:left="0" w:firstLine="567"/>
        <w:rPr>
          <w:rFonts w:ascii="Times New Roman" w:hAnsi="Times New Roman"/>
          <w:sz w:val="28"/>
          <w:szCs w:val="28"/>
          <w:shd w:fill="FFFFFF" w:val="clear"/>
        </w:rPr>
      </w:pPr>
      <w:r>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pPr>
        <w:pStyle w:val="ListParagraph"/>
        <w:ind w:left="0" w:firstLine="567"/>
        <w:rPr>
          <w:rStyle w:val="Style13"/>
          <w:rFonts w:ascii="Times New Roman" w:hAnsi="Times New Roman"/>
        </w:rPr>
      </w:pPr>
      <w:r>
        <w:rPr>
          <w:rStyle w:val="Style13"/>
          <w:rFonts w:cs="Times New Roman" w:ascii="Times New Roman" w:hAnsi="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pPr>
        <w:pStyle w:val="ListParagraph"/>
        <w:ind w:left="0" w:firstLine="567"/>
        <w:rPr>
          <w:rFonts w:ascii="Times New Roman" w:hAnsi="Times New Roman"/>
          <w:sz w:val="28"/>
          <w:szCs w:val="28"/>
        </w:rPr>
      </w:pPr>
      <w:r>
        <w:rPr>
          <w:rStyle w:val="Style13"/>
          <w:rFonts w:cs="Times New Roman" w:ascii="Times New Roman" w:hAnsi="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pPr>
        <w:pStyle w:val="ListParagraph"/>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Style w:val="Style13"/>
          <w:rFonts w:cs="Times New Roman" w:ascii="Times New Roman" w:hAnsi="Times New Roman"/>
          <w:sz w:val="28"/>
          <w:szCs w:val="28"/>
        </w:rPr>
        <w:t>107016, Москва, ул. Неглинная, д. 12, к. В.</w:t>
      </w:r>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 указанной Инструкцией и с учетом пунктов 152 и 153 настоящих Методических рекомендаций физическим лицам открываются следующие применимые для целей представления Сведений счета:</w:t>
      </w:r>
    </w:p>
    <w:p>
      <w:pPr>
        <w:pStyle w:val="ListParagraph"/>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pPr>
        <w:pStyle w:val="ListParagraph"/>
        <w:ind w:left="0" w:firstLine="567"/>
        <w:rPr>
          <w:rFonts w:ascii="Times New Roman" w:hAnsi="Times New Roman"/>
          <w:sz w:val="28"/>
          <w:szCs w:val="28"/>
        </w:rPr>
      </w:pPr>
      <w:r>
        <w:rPr>
          <w:rFonts w:eastAsia="Times New Roman" w:ascii="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pPr>
        <w:pStyle w:val="ListParagraph"/>
        <w:ind w:left="0" w:firstLine="567"/>
        <w:rPr>
          <w:rFonts w:ascii="Times New Roman" w:hAnsi="Times New Roman"/>
          <w:sz w:val="28"/>
          <w:szCs w:val="28"/>
        </w:rPr>
      </w:pPr>
      <w:r>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pPr>
        <w:pStyle w:val="ListParagraph"/>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pPr>
        <w:pStyle w:val="ListParagraph"/>
        <w:numPr>
          <w:ilvl w:val="0"/>
          <w:numId w:val="1"/>
        </w:numPr>
        <w:ind w:left="0" w:firstLine="567"/>
        <w:rPr>
          <w:rStyle w:val="Style13"/>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Style13"/>
          <w:rFonts w:cs="Times New Roman" w:ascii="Times New Roman" w:hAnsi="Times New Roman"/>
          <w:color w:val="000000"/>
          <w:sz w:val="28"/>
          <w:szCs w:val="28"/>
        </w:rPr>
        <w:t xml:space="preserve">не допускается указание даты выпуска (перевыпуска) платежной карты.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pPr>
        <w:pStyle w:val="ListParagraph"/>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pPr>
        <w:pStyle w:val="ListParagraph"/>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pPr>
        <w:pStyle w:val="ListParagraph"/>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pPr>
        <w:pStyle w:val="ListParagraph"/>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2024</w:t>
      </w:r>
      <w:r>
        <w:rPr>
          <w:rFonts w:ascii="Times New Roman" w:hAnsi="Times New Roman"/>
          <w:sz w:val="28"/>
        </w:rPr>
        <w:t xml:space="preserve"> году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w:t>
      </w:r>
      <w:r>
        <w:rPr>
          <w:rFonts w:ascii="Times New Roman" w:hAnsi="Times New Roman"/>
          <w:sz w:val="28"/>
          <w:szCs w:val="28"/>
        </w:rPr>
        <w:t>такие счета в 2023</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2021</w:t>
      </w:r>
      <w:r>
        <w:rPr>
          <w:rFonts w:ascii="Times New Roman" w:hAnsi="Times New Roman"/>
          <w:sz w:val="28"/>
          <w:szCs w:val="28"/>
        </w:rPr>
        <w:t>,</w:t>
      </w:r>
      <w:r>
        <w:rPr>
          <w:rFonts w:ascii="Times New Roman" w:hAnsi="Times New Roman"/>
          <w:sz w:val="28"/>
        </w:rPr>
        <w:t xml:space="preserve"> 2022</w:t>
      </w:r>
      <w:r>
        <w:rPr>
          <w:rFonts w:ascii="Times New Roman" w:hAnsi="Times New Roman"/>
          <w:sz w:val="28"/>
          <w:szCs w:val="28"/>
        </w:rPr>
        <w:t xml:space="preserve"> и 2023</w:t>
      </w:r>
      <w:r>
        <w:rPr>
          <w:rFonts w:ascii="Times New Roman" w:hAnsi="Times New Roman"/>
          <w:sz w:val="28"/>
        </w:rPr>
        <w:t xml:space="preserve"> годы (в таком случае в отношении каждого счета указывается сумма поступивших на него в 2023 году денежных средств). </w:t>
      </w:r>
    </w:p>
    <w:p>
      <w:pPr>
        <w:pStyle w:val="Normal"/>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pPr>
        <w:pStyle w:val="Normal"/>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период,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супруга (супруги)</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pPr>
        <w:pStyle w:val="Normal"/>
        <w:ind w:firstLine="567"/>
        <w:rPr>
          <w:rFonts w:ascii="Times New Roman" w:hAnsi="Times New Roman"/>
          <w:sz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 </w:t>
      </w:r>
    </w:p>
    <w:p>
      <w:pPr>
        <w:pStyle w:val="Normal"/>
        <w:ind w:firstLine="567"/>
        <w:rPr>
          <w:rFonts w:ascii="Times New Roman" w:hAnsi="Times New Roman"/>
          <w:sz w:val="28"/>
        </w:rPr>
      </w:pPr>
      <w:r>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pPr>
        <w:pStyle w:val="ListParagraph"/>
        <w:ind w:left="0" w:firstLine="567"/>
        <w:rPr>
          <w:rFonts w:ascii="Times New Roman" w:hAnsi="Times New Roman"/>
          <w:sz w:val="28"/>
        </w:rPr>
      </w:pPr>
      <w:r>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подлежит заполнению в связи с незначительными доходами в предыдущие годы.</w:t>
      </w:r>
    </w:p>
    <w:p>
      <w:pPr>
        <w:pStyle w:val="ListParagraph"/>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p>
    <w:p>
      <w:pPr>
        <w:pStyle w:val="ListParagraph"/>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w:t>
      </w:r>
    </w:p>
    <w:p>
      <w:pPr>
        <w:pStyle w:val="ListParagraph"/>
        <w:ind w:left="0" w:firstLine="567"/>
        <w:rPr>
          <w:rFonts w:ascii="Times New Roman" w:hAnsi="Times New Roman"/>
          <w:sz w:val="28"/>
          <w:szCs w:val="28"/>
        </w:rPr>
      </w:pPr>
      <w:r>
        <w:rPr>
          <w:rFonts w:ascii="Times New Roman" w:hAnsi="Times New Roman"/>
          <w:sz w:val="28"/>
          <w:szCs w:val="28"/>
        </w:rPr>
        <w:t>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pPr>
        <w:pStyle w:val="ListParagraph"/>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pPr>
        <w:pStyle w:val="ListParagraph"/>
        <w:ind w:left="0" w:firstLine="567"/>
        <w:rPr>
          <w:rFonts w:ascii="Times New Roman" w:hAnsi="Times New Roman"/>
          <w:sz w:val="28"/>
          <w:szCs w:val="28"/>
        </w:rPr>
      </w:pPr>
      <w:r>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pPr>
        <w:pStyle w:val="ListParagraph"/>
        <w:ind w:left="0" w:firstLine="567"/>
        <w:rPr>
          <w:rFonts w:ascii="Times New Roman" w:hAnsi="Times New Roman"/>
          <w:sz w:val="28"/>
          <w:szCs w:val="28"/>
        </w:rPr>
      </w:pPr>
      <w:r>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pPr>
        <w:pStyle w:val="ListParagraph"/>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pPr>
        <w:pStyle w:val="ListParagraph"/>
        <w:ind w:left="0" w:firstLine="567"/>
        <w:rPr>
          <w:rFonts w:ascii="Times New Roman" w:hAnsi="Times New Roman"/>
          <w:sz w:val="28"/>
          <w:szCs w:val="28"/>
        </w:rPr>
      </w:pPr>
      <w:r>
        <w:rPr>
          <w:rFonts w:ascii="Times New Roman" w:hAnsi="Times New Roman"/>
          <w:sz w:val="28"/>
          <w:szCs w:val="28"/>
        </w:rPr>
      </w:r>
    </w:p>
    <w:p>
      <w:pPr>
        <w:pStyle w:val="ListParagraph"/>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p>
    <w:tbl>
      <w:tblPr>
        <w:tblStyle w:val="af4"/>
        <w:tblW w:w="1019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95"/>
      </w:tblGrid>
      <w:tr>
        <w:trPr/>
        <w:tc>
          <w:tcPr>
            <w:tcW w:w="10195" w:type="dxa"/>
            <w:tcBorders/>
            <w:shd w:color="auto" w:fill="FFFFFF" w:themeFill="background1" w:val="clear"/>
          </w:tcPr>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В течение отчетного периода на счета служащего (работника) поступило 300 тыс. руб., а на счета его супруги – 500 тыс. руб.</w:t>
            </w:r>
          </w:p>
          <w:p>
            <w:pPr>
              <w:pStyle w:val="Normal"/>
              <w:widowControl w:val="false"/>
              <w:tabs>
                <w:tab w:val="clear" w:pos="709"/>
                <w:tab w:val="left" w:pos="454" w:leader="none"/>
                <w:tab w:val="left" w:pos="9390" w:leader="none"/>
              </w:tabs>
              <w:suppressAutoHyphens w:val="true"/>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Доход служащего (работника), его супруги и несовершеннолетних детей за отчетный период и два предшествующих года (далее в таблице № 5 – совокупный доход) составляет 6000 тыс. руб.</w:t>
            </w:r>
          </w:p>
          <w:p>
            <w:pPr>
              <w:pStyle w:val="Normal"/>
              <w:widowControl w:val="false"/>
              <w:tabs>
                <w:tab w:val="clear" w:pos="709"/>
                <w:tab w:val="left" w:pos="454" w:leader="none"/>
                <w:tab w:val="left" w:pos="9390" w:leader="none"/>
              </w:tabs>
              <w:suppressAutoHyphens w:val="true"/>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val="false"/>
              <w:numPr>
                <w:ilvl w:val="0"/>
                <w:numId w:val="10"/>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графа "Сумма поступивших на счет денежных средств (руб.)" раздела 4 справки в отношении служащего (работника) не заполняется;</w:t>
            </w:r>
          </w:p>
          <w:p>
            <w:pPr>
              <w:pStyle w:val="ListParagraph"/>
              <w:widowControl w:val="false"/>
              <w:numPr>
                <w:ilvl w:val="0"/>
                <w:numId w:val="10"/>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графа "Сумма поступивших на счет денежных средств (руб.)" раздела 4 справки в отношении его супруги также не заполняется. </w:t>
            </w:r>
          </w:p>
        </w:tc>
      </w:tr>
      <w:tr>
        <w:trPr/>
        <w:tc>
          <w:tcPr>
            <w:tcW w:w="10195" w:type="dxa"/>
            <w:tcBorders/>
            <w:shd w:color="auto" w:fill="FFFFFF" w:themeFill="background1" w:val="clear"/>
          </w:tcPr>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три счета.</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500 тыс. руб. Впоследствии </w:t>
              <w:br/>
              <w:t xml:space="preserve">со счета "А" на счета "Б" и "В" переведены денежные средства: 300 тыс. руб. </w:t>
              <w:br/>
              <w:t>и 100 тыс. руб. соответственно.</w:t>
            </w:r>
          </w:p>
          <w:p>
            <w:pPr>
              <w:pStyle w:val="Normal"/>
              <w:widowControl w:val="false"/>
              <w:tabs>
                <w:tab w:val="clear" w:pos="709"/>
                <w:tab w:val="left" w:pos="454" w:leader="none"/>
                <w:tab w:val="left" w:pos="9390" w:leader="none"/>
              </w:tabs>
              <w:suppressAutoHyphens w:val="true"/>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val="false"/>
              <w:numPr>
                <w:ilvl w:val="0"/>
                <w:numId w:val="8"/>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900 тыс. руб.;</w:t>
            </w:r>
          </w:p>
          <w:p>
            <w:pPr>
              <w:pStyle w:val="ListParagraph"/>
              <w:widowControl w:val="false"/>
              <w:numPr>
                <w:ilvl w:val="0"/>
                <w:numId w:val="8"/>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500 тыс. руб.</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trPr/>
        <w:tc>
          <w:tcPr>
            <w:tcW w:w="10195" w:type="dxa"/>
            <w:tcBorders/>
            <w:shd w:color="auto" w:fill="FFFFFF" w:themeFill="background1" w:val="clear"/>
          </w:tcPr>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два счета.</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400 тыс. руб.; на счет "Б" – </w:t>
              <w:br/>
              <w:t>300 тыс. руб.</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Сначала со счета "А" на счет "Б" переведены 200 тыс. руб., потом со счета "Б" </w:t>
              <w:br/>
              <w:t>на счет "А" – 500 тыс. руб.</w:t>
            </w:r>
          </w:p>
          <w:p>
            <w:pPr>
              <w:pStyle w:val="Normal"/>
              <w:widowControl w:val="false"/>
              <w:tabs>
                <w:tab w:val="clear" w:pos="709"/>
                <w:tab w:val="left" w:pos="454" w:leader="none"/>
                <w:tab w:val="left" w:pos="9390" w:leader="none"/>
              </w:tabs>
              <w:suppressAutoHyphens w:val="true"/>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val="false"/>
              <w:numPr>
                <w:ilvl w:val="0"/>
                <w:numId w:val="9"/>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1400 тыс. руб.;</w:t>
            </w:r>
          </w:p>
          <w:p>
            <w:pPr>
              <w:pStyle w:val="ListParagraph"/>
              <w:widowControl w:val="false"/>
              <w:numPr>
                <w:ilvl w:val="0"/>
                <w:numId w:val="9"/>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700 тыс. руб.</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trPr/>
        <w:tc>
          <w:tcPr>
            <w:tcW w:w="10195" w:type="dxa"/>
            <w:tcBorders/>
            <w:shd w:color="auto" w:fill="FFFFFF" w:themeFill="background1" w:val="clear"/>
          </w:tcPr>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(работника)открыто два счета.</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500 тыс. руб. Впоследствии </w:t>
              <w:br/>
              <w:t>со счета "А" в банкомате сняли 500 тыс. руб. и зачислили их также с помощью банкомата на счет "Б".</w:t>
            </w:r>
          </w:p>
          <w:p>
            <w:pPr>
              <w:pStyle w:val="Normal"/>
              <w:widowControl w:val="false"/>
              <w:tabs>
                <w:tab w:val="clear" w:pos="709"/>
                <w:tab w:val="left" w:pos="454" w:leader="none"/>
                <w:tab w:val="left" w:pos="9390" w:leader="none"/>
              </w:tabs>
              <w:suppressAutoHyphens w:val="true"/>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val="false"/>
              <w:numPr>
                <w:ilvl w:val="0"/>
                <w:numId w:val="11"/>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1000 тыс. руб.;</w:t>
            </w:r>
          </w:p>
          <w:p>
            <w:pPr>
              <w:pStyle w:val="ListParagraph"/>
              <w:widowControl w:val="false"/>
              <w:numPr>
                <w:ilvl w:val="0"/>
                <w:numId w:val="11"/>
              </w:numPr>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1000 тыс. руб.</w:t>
            </w:r>
          </w:p>
          <w:p>
            <w:pPr>
              <w:pStyle w:val="ListParagraph"/>
              <w:widowControl w:val="false"/>
              <w:tabs>
                <w:tab w:val="clear" w:pos="709"/>
                <w:tab w:val="left" w:pos="454" w:leader="none"/>
                <w:tab w:val="left" w:pos="9390" w:leader="none"/>
              </w:tabs>
              <w:suppressAutoHyphens w:val="true"/>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pPr>
        <w:pStyle w:val="ListParagraph"/>
        <w:ind w:left="0" w:firstLine="567"/>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pPr>
        <w:pStyle w:val="Normal"/>
        <w:ind w:firstLine="567"/>
        <w:rPr>
          <w:rFonts w:ascii="Times New Roman" w:hAnsi="Times New Roman"/>
          <w:b/>
          <w:sz w:val="28"/>
          <w:szCs w:val="28"/>
        </w:rPr>
      </w:pPr>
      <w:r>
        <w:rPr>
          <w:rFonts w:ascii="Times New Roman" w:hAnsi="Times New Roman"/>
          <w:b/>
          <w:sz w:val="28"/>
          <w:szCs w:val="28"/>
        </w:rPr>
        <w:t>Совместный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В данном случае в каждой подаваемой справке представляется идентичная информация о таком счете.</w:t>
      </w:r>
    </w:p>
    <w:p>
      <w:pPr>
        <w:pStyle w:val="ListParagraph"/>
        <w:ind w:left="0" w:firstLine="567"/>
        <w:rPr>
          <w:rFonts w:ascii="Times New Roman" w:hAnsi="Times New Roman"/>
          <w:b/>
          <w:sz w:val="28"/>
          <w:szCs w:val="28"/>
        </w:rPr>
      </w:pPr>
      <w:r>
        <w:rPr>
          <w:rFonts w:ascii="Times New Roman" w:hAnsi="Times New Roman"/>
          <w:b/>
          <w:sz w:val="28"/>
          <w:szCs w:val="28"/>
        </w:rPr>
        <w:t xml:space="preserve">Кредитные карты, карты с овердрафтом, электронные средства платежа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6):</w:t>
      </w:r>
    </w:p>
    <w:tbl>
      <w:tblPr>
        <w:tblStyle w:val="af4"/>
        <w:tblW w:w="103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6"/>
        <w:gridCol w:w="8221"/>
      </w:tblGrid>
      <w:tr>
        <w:trPr/>
        <w:tc>
          <w:tcPr>
            <w:tcW w:w="2126" w:type="dxa"/>
            <w:tcBorders/>
          </w:tcPr>
          <w:p>
            <w:pPr>
              <w:pStyle w:val="ListParagraph"/>
              <w:widowControl w:val="false"/>
              <w:suppressAutoHyphens w:val="true"/>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Расчетная (дебетовая)</w:t>
            </w:r>
          </w:p>
        </w:tc>
        <w:tc>
          <w:tcPr>
            <w:tcW w:w="8221" w:type="dxa"/>
            <w:tcBorders/>
          </w:tcPr>
          <w:p>
            <w:pPr>
              <w:pStyle w:val="ListParagraph"/>
              <w:widowControl w:val="false"/>
              <w:suppressAutoHyphens w:val="true"/>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rPr/>
        <w:tc>
          <w:tcPr>
            <w:tcW w:w="2126" w:type="dxa"/>
            <w:tcBorders/>
          </w:tcPr>
          <w:p>
            <w:pPr>
              <w:pStyle w:val="ListParagraph"/>
              <w:widowControl w:val="false"/>
              <w:suppressAutoHyphens w:val="true"/>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Кредитная</w:t>
            </w:r>
          </w:p>
        </w:tc>
        <w:tc>
          <w:tcPr>
            <w:tcW w:w="8221" w:type="dxa"/>
            <w:tcBorders/>
          </w:tcPr>
          <w:p>
            <w:pPr>
              <w:pStyle w:val="ListParagraph"/>
              <w:widowControl w:val="false"/>
              <w:suppressAutoHyphens w:val="true"/>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pPr>
        <w:pStyle w:val="ListParagraph"/>
        <w:ind w:left="0" w:firstLine="567"/>
        <w:rPr>
          <w:rFonts w:ascii="Times New Roman" w:hAnsi="Times New Roman"/>
          <w:color w:val="000000"/>
          <w:sz w:val="28"/>
          <w:szCs w:val="28"/>
        </w:rPr>
      </w:pPr>
      <w:r>
        <w:rPr>
          <w:rFonts w:ascii="Times New Roman" w:hAnsi="Times New Roman"/>
          <w:sz w:val="28"/>
          <w:szCs w:val="28"/>
        </w:rPr>
        <w:t xml:space="preserve">Кроме того, необходимо обращать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pPr>
        <w:pStyle w:val="ListParagraph"/>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w:t>
        <w:br/>
        <w:t xml:space="preserve">может быть получена в ФНС России. Информацией о ранее открытых счетах </w:t>
        <w:br/>
        <w:t xml:space="preserve">в банках (если такие счета не закрывались либо по ним не было изменений) </w:t>
        <w:br/>
        <w:t xml:space="preserve">налоговые органы не располагают. Порядок обращения за данными </w:t>
        <w:br/>
        <w:t xml:space="preserve">сведениями изложен на официальном сайте ФНС России по ссылке: </w:t>
      </w:r>
      <w:hyperlink r:id="rId26" w:tgtFrame="https://www.nalog.ru/rn77/related_activities/accounting/bank_account/">
        <w:r>
          <w:rPr>
            <w:rStyle w:val="-"/>
            <w:rFonts w:ascii="Times New Roman" w:hAnsi="Times New Roman"/>
            <w:sz w:val="28"/>
            <w:szCs w:val="28"/>
          </w:rPr>
          <w:t>https://www.nalog.ru/rn77/related_activities/accounting/bank_account/</w:t>
        </w:r>
      </w:hyperlink>
      <w:r>
        <w:rPr>
          <w:rFonts w:ascii="Times New Roman" w:hAnsi="Times New Roman"/>
          <w:sz w:val="28"/>
          <w:szCs w:val="28"/>
        </w:rPr>
        <w:t>.</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pPr>
        <w:pStyle w:val="ListParagraph"/>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xml:space="preserve">,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pPr>
        <w:pStyle w:val="ListParagraph"/>
        <w:numPr>
          <w:ilvl w:val="1"/>
          <w:numId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pPr>
        <w:pStyle w:val="ListParagraph"/>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 в том числе "электронные кошельки" (например, "ЮMoney", "</w:t>
      </w:r>
      <w:r>
        <w:rPr>
          <w:rFonts w:ascii="Times New Roman" w:hAnsi="Times New Roman"/>
          <w:sz w:val="28"/>
          <w:szCs w:val="28"/>
          <w:lang w:val="en-US"/>
        </w:rPr>
        <w:t>Qiwi</w:t>
      </w:r>
      <w:r>
        <w:rPr>
          <w:rFonts w:ascii="Times New Roman" w:hAnsi="Times New Roman"/>
          <w:sz w:val="28"/>
          <w:szCs w:val="28"/>
        </w:rPr>
        <w:t xml:space="preserve"> кошелек"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pPr>
        <w:pStyle w:val="Normal"/>
        <w:rPr>
          <w:rFonts w:ascii="Times New Roman" w:hAnsi="Times New Roman"/>
          <w:sz w:val="28"/>
          <w:szCs w:val="28"/>
        </w:rPr>
      </w:pPr>
      <w:r>
        <w:rPr>
          <w:rFonts w:ascii="Times New Roman" w:hAnsi="Times New Roman"/>
          <w:sz w:val="28"/>
          <w:szCs w:val="28"/>
        </w:rPr>
        <w:t>Под электронным</w:t>
      </w:r>
      <w:bookmarkStart w:id="3" w:name="_GoBack"/>
      <w:bookmarkEnd w:id="3"/>
      <w:r>
        <w:rPr>
          <w:rFonts w:ascii="Times New Roman" w:hAnsi="Times New Roman"/>
          <w:sz w:val="28"/>
          <w:szCs w:val="28"/>
        </w:rPr>
        <w:t xml:space="preserve">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pPr>
        <w:pStyle w:val="ListParagraph"/>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pPr>
        <w:pStyle w:val="ListParagraph"/>
        <w:ind w:left="0" w:firstLine="567"/>
        <w:rPr>
          <w:rFonts w:ascii="Times New Roman" w:hAnsi="Times New Roman"/>
          <w:b/>
          <w:sz w:val="28"/>
          <w:szCs w:val="28"/>
        </w:rPr>
      </w:pPr>
      <w:r>
        <w:rPr>
          <w:rFonts w:ascii="Times New Roman" w:hAnsi="Times New Roman"/>
          <w:b/>
          <w:sz w:val="28"/>
          <w:szCs w:val="28"/>
        </w:rPr>
        <w:t>Ликвидация кредитной организации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7" w:tgtFrame="https://www.cbr.ru/banking_sector/likvidbase/">
        <w:r>
          <w:rPr>
            <w:rStyle w:val="-"/>
            <w:rFonts w:ascii="Times New Roman" w:hAnsi="Times New Roman"/>
            <w:sz w:val="28"/>
            <w:szCs w:val="28"/>
          </w:rPr>
          <w:t>https://www.cbr.ru/banking_sector/likvidbase/</w:t>
        </w:r>
      </w:hyperlink>
      <w:r>
        <w:rPr>
          <w:rFonts w:ascii="Times New Roman" w:hAnsi="Times New Roman"/>
          <w:sz w:val="28"/>
          <w:szCs w:val="28"/>
        </w:rPr>
        <w:t xml:space="preserve">. </w:t>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5. СВЕДЕНИЯ О ЦЕННЫХ БУМАГАХ</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участия в коммерческих организациях"</w:t>
      </w:r>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pPr>
        <w:pStyle w:val="ListParagraph"/>
        <w:ind w:left="0" w:firstLine="567"/>
        <w:rPr>
          <w:rFonts w:ascii="Times New Roman" w:hAnsi="Times New Roman"/>
          <w:sz w:val="28"/>
          <w:szCs w:val="28"/>
        </w:rPr>
      </w:pPr>
      <w:r>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pPr>
        <w:pStyle w:val="ListParagraph"/>
        <w:ind w:left="0" w:firstLine="567"/>
        <w:rPr>
          <w:rFonts w:ascii="Times New Roman" w:hAnsi="Times New Roman"/>
          <w:sz w:val="28"/>
          <w:szCs w:val="28"/>
        </w:rPr>
      </w:pPr>
      <w:r>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pPr>
        <w:pStyle w:val="Normal"/>
        <w:ind w:firstLine="567"/>
        <w:rPr>
          <w:rFonts w:ascii="Times New Roman" w:hAnsi="Times New Roman"/>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pPr>
        <w:pStyle w:val="Normal"/>
        <w:tabs>
          <w:tab w:val="clear" w:pos="709"/>
          <w:tab w:val="left" w:pos="426" w:leader="none"/>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pPr>
        <w:pStyle w:val="ListParagraph"/>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pPr>
        <w:pStyle w:val="ListParagraph"/>
        <w:numPr>
          <w:ilvl w:val="0"/>
          <w:numId w:val="1"/>
        </w:numPr>
        <w:ind w:left="0" w:firstLine="567"/>
        <w:rPr>
          <w:rFonts w:ascii="Times New Roman" w:hAnsi="Times New Roman"/>
          <w:sz w:val="28"/>
          <w:szCs w:val="28"/>
        </w:rPr>
      </w:pPr>
      <w:bookmarkStart w:id="5" w:name="Par620"/>
      <w:bookmarkEnd w:id="5"/>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(руб.)"</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pPr>
        <w:pStyle w:val="ListParagraph"/>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pPr>
        <w:pStyle w:val="ListParagraph"/>
        <w:ind w:left="567" w:hanging="0"/>
        <w:rPr>
          <w:rFonts w:ascii="Times New Roman" w:hAnsi="Times New Roman"/>
          <w:b/>
          <w:sz w:val="28"/>
          <w:szCs w:val="28"/>
        </w:rPr>
      </w:pPr>
      <w:r>
        <w:rPr>
          <w:rFonts w:ascii="Times New Roman" w:hAnsi="Times New Roman"/>
          <w:b/>
          <w:sz w:val="28"/>
          <w:szCs w:val="28"/>
        </w:rPr>
        <w:t>Подраздел 5.2. Иные ценные бумаги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pPr>
        <w:pStyle w:val="ListParagraph"/>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pPr>
        <w:pStyle w:val="ListParagraph"/>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numPr>
          <w:ilvl w:val="0"/>
          <w:numId w:val="1"/>
        </w:numPr>
        <w:tabs>
          <w:tab w:val="clear" w:pos="709"/>
          <w:tab w:val="left" w:pos="1418" w:leader="none"/>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pPr>
        <w:pStyle w:val="ListParagraph"/>
        <w:tabs>
          <w:tab w:val="clear" w:pos="709"/>
          <w:tab w:val="left" w:pos="1418" w:leader="none"/>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28">
        <w:r>
          <w:rPr>
            <w:rStyle w:val="-"/>
            <w:rFonts w:ascii="Times New Roman" w:hAnsi="Times New Roman"/>
            <w:sz w:val="28"/>
            <w:szCs w:val="28"/>
          </w:rPr>
          <w:t>https://mintrud.gov.ru/ministry/programms/anticorruption/9/21</w:t>
        </w:r>
      </w:hyperlink>
      <w:r>
        <w:rPr>
          <w:rFonts w:ascii="Times New Roman" w:hAnsi="Times New Roman"/>
          <w:sz w:val="28"/>
          <w:szCs w:val="28"/>
        </w:rPr>
        <w:t>).</w:t>
      </w:r>
    </w:p>
    <w:p>
      <w:pPr>
        <w:pStyle w:val="ListParagraph"/>
        <w:tabs>
          <w:tab w:val="clear" w:pos="709"/>
          <w:tab w:val="left" w:pos="1418" w:leader="none"/>
        </w:tabs>
        <w:ind w:left="0" w:firstLine="567"/>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 xml:space="preserve">РАЗДЕЛ 6. СВЕДЕНИЯ ОБ ОБЯЗАТЕЛЬСТВАХ </w:t>
      </w:r>
    </w:p>
    <w:p>
      <w:pPr>
        <w:pStyle w:val="Normal"/>
        <w:ind w:hanging="0"/>
        <w:jc w:val="center"/>
        <w:rPr>
          <w:rFonts w:ascii="Times New Roman" w:hAnsi="Times New Roman"/>
          <w:b/>
          <w:sz w:val="28"/>
          <w:szCs w:val="28"/>
        </w:rPr>
      </w:pPr>
      <w:r>
        <w:rPr>
          <w:rFonts w:ascii="Times New Roman" w:hAnsi="Times New Roman"/>
          <w:b/>
          <w:sz w:val="28"/>
          <w:szCs w:val="28"/>
        </w:rPr>
        <w:t>ИМУЩЕСТВЕННОГО ХАРАКТЕРА</w:t>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b/>
          <w:sz w:val="28"/>
          <w:szCs w:val="28"/>
        </w:rPr>
      </w:pPr>
      <w:r>
        <w:rPr>
          <w:rFonts w:ascii="Times New Roman" w:hAnsi="Times New Roman"/>
          <w:b/>
          <w:sz w:val="28"/>
          <w:szCs w:val="28"/>
        </w:rPr>
        <w:t>Подраздел 6.1. Объекты недвижимого имущества, находящиеся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ListParagraph"/>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pPr>
        <w:pStyle w:val="ListParagraph"/>
        <w:numPr>
          <w:ilvl w:val="0"/>
          <w:numId w:val="7"/>
        </w:numPr>
        <w:ind w:left="142" w:firstLine="425"/>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pPr>
        <w:pStyle w:val="ListParagraph"/>
        <w:numPr>
          <w:ilvl w:val="0"/>
          <w:numId w:val="7"/>
        </w:numPr>
        <w:ind w:left="142" w:firstLine="425"/>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pPr>
        <w:pStyle w:val="ListParagraph"/>
        <w:ind w:left="567" w:hanging="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pPr>
        <w:pStyle w:val="ListParagraph"/>
        <w:ind w:left="0" w:firstLine="567"/>
        <w:rPr>
          <w:rFonts w:ascii="Times New Roman" w:hAnsi="Times New Roman"/>
          <w:sz w:val="28"/>
          <w:szCs w:val="28"/>
        </w:rPr>
      </w:pPr>
      <w:r>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pPr>
        <w:pStyle w:val="Normal"/>
        <w:ind w:firstLine="567"/>
        <w:rPr>
          <w:rFonts w:ascii="Times New Roman" w:hAnsi="Times New Roman"/>
          <w:sz w:val="28"/>
          <w:szCs w:val="28"/>
        </w:rPr>
      </w:pPr>
      <w:r>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pStyle w:val="Normal"/>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Normal"/>
        <w:ind w:firstLine="567"/>
        <w:rPr>
          <w:rFonts w:ascii="Times New Roman" w:hAnsi="Times New Roman"/>
          <w:sz w:val="28"/>
          <w:szCs w:val="28"/>
        </w:rPr>
      </w:pPr>
      <w:r>
        <w:rPr>
          <w:rFonts w:ascii="Times New Roman" w:hAnsi="Times New Roman"/>
          <w:sz w:val="28"/>
          <w:szCs w:val="28"/>
        </w:rPr>
        <w:t>3) занимаемых по договору аренды (найма, поднайма);</w:t>
      </w:r>
    </w:p>
    <w:p>
      <w:pPr>
        <w:pStyle w:val="Normal"/>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pPr>
        <w:pStyle w:val="Normal"/>
        <w:ind w:firstLine="567"/>
        <w:rPr>
          <w:rFonts w:ascii="Times New Roman" w:hAnsi="Times New Roman"/>
          <w:sz w:val="28"/>
          <w:szCs w:val="28"/>
        </w:rPr>
      </w:pPr>
      <w:r>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pPr>
        <w:pStyle w:val="Normal"/>
        <w:ind w:firstLine="567"/>
        <w:rPr>
          <w:rFonts w:ascii="Times New Roman" w:hAnsi="Times New Roman"/>
          <w:sz w:val="28"/>
          <w:szCs w:val="28"/>
        </w:rPr>
      </w:pPr>
      <w:r>
        <w:rPr>
          <w:rFonts w:ascii="Times New Roman" w:hAnsi="Times New Roman"/>
          <w:sz w:val="28"/>
          <w:szCs w:val="28"/>
        </w:rPr>
        <w:t>6) принадлежащих на праве пожизненного наследуемого владения земельным участком;</w:t>
      </w:r>
    </w:p>
    <w:p>
      <w:pPr>
        <w:pStyle w:val="Normal"/>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pPr>
        <w:pStyle w:val="ListParagraph"/>
        <w:widowControl w:val="false"/>
        <w:numPr>
          <w:ilvl w:val="0"/>
          <w:numId w:val="1"/>
        </w:numPr>
        <w:ind w:left="0" w:firstLine="567"/>
        <w:rPr>
          <w:rFonts w:ascii="Times New Roman" w:hAnsi="Times New Roman"/>
          <w:sz w:val="28"/>
          <w:szCs w:val="28"/>
        </w:rPr>
      </w:pPr>
      <w:bookmarkStart w:id="6" w:name="Par626"/>
      <w:bookmarkEnd w:id="6"/>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pPr>
        <w:pStyle w:val="ListParagraph"/>
        <w:numPr>
          <w:ilvl w:val="0"/>
          <w:numId w:val="1"/>
        </w:numPr>
        <w:ind w:left="0" w:firstLine="567"/>
        <w:rPr>
          <w:rFonts w:ascii="Times New Roman" w:hAnsi="Times New Roman"/>
          <w:sz w:val="28"/>
          <w:szCs w:val="28"/>
        </w:rPr>
      </w:pPr>
      <w:bookmarkStart w:id="7" w:name="Par627"/>
      <w:bookmarkEnd w:id="7"/>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pPr>
        <w:pStyle w:val="ListParagraph"/>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pPr>
        <w:pStyle w:val="14"/>
        <w:numPr>
          <w:ilvl w:val="0"/>
          <w:numId w:val="1"/>
        </w:numPr>
        <w:shd w:val="clear" w:color="auto" w:fill="auto"/>
        <w:spacing w:lineRule="auto" w:line="240" w:before="0" w:after="0"/>
        <w:ind w:left="0" w:firstLine="567"/>
        <w:jc w:val="both"/>
        <w:rPr>
          <w:rFonts w:ascii="Times New Roman" w:hAnsi="Times New Roman"/>
        </w:rPr>
      </w:pPr>
      <w:r>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Аналогично в отношении несовершеннолетних детей.</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pPr>
        <w:pStyle w:val="ListParagraph"/>
        <w:ind w:left="0" w:firstLine="567"/>
        <w:rPr>
          <w:rFonts w:ascii="Times New Roman" w:hAnsi="Times New Roman"/>
          <w:b/>
          <w:sz w:val="28"/>
          <w:szCs w:val="28"/>
        </w:rPr>
      </w:pPr>
      <w:r>
        <w:rPr>
          <w:rFonts w:ascii="Times New Roman" w:hAnsi="Times New Roman"/>
          <w:b/>
          <w:sz w:val="28"/>
          <w:szCs w:val="28"/>
        </w:rPr>
        <w:t>Подраздел 6.2. Срочные обязательства финансового характера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pPr>
        <w:pStyle w:val="ListParagraph"/>
        <w:widowControl w:val="false"/>
        <w:numPr>
          <w:ilvl w:val="0"/>
          <w:numId w:val="1"/>
        </w:numPr>
        <w:ind w:left="0" w:firstLine="567"/>
        <w:rPr>
          <w:rFonts w:ascii="Times New Roman" w:hAnsi="Times New Roman"/>
          <w:sz w:val="28"/>
          <w:szCs w:val="28"/>
        </w:rPr>
      </w:pPr>
      <w:bookmarkStart w:id="8" w:name="Par629"/>
      <w:bookmarkEnd w:id="8"/>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Например, </w:t>
      </w:r>
    </w:p>
    <w:p>
      <w:pPr>
        <w:pStyle w:val="Normal"/>
        <w:widowControl w:val="false"/>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(должник)"</w:t>
      </w:r>
      <w:r>
        <w:rPr>
          <w:rFonts w:ascii="Times New Roman" w:hAnsi="Times New Roman"/>
          <w:sz w:val="28"/>
          <w:szCs w:val="28"/>
        </w:rPr>
        <w:t xml:space="preserve"> указывается вторая сторона обязательства: кредитор ПАО Сбербанк;</w:t>
      </w:r>
    </w:p>
    <w:p>
      <w:pPr>
        <w:pStyle w:val="Normal"/>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pPr>
        <w:pStyle w:val="ListParagraph"/>
        <w:widowControl w:val="false"/>
        <w:numPr>
          <w:ilvl w:val="0"/>
          <w:numId w:val="1"/>
        </w:numPr>
        <w:ind w:left="0" w:firstLine="567"/>
        <w:rPr>
          <w:rFonts w:ascii="Times New Roman" w:hAnsi="Times New Roman"/>
          <w:sz w:val="28"/>
          <w:szCs w:val="28"/>
        </w:rPr>
      </w:pPr>
      <w:bookmarkStart w:id="9" w:name="Par631"/>
      <w:bookmarkEnd w:id="9"/>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Normal"/>
        <w:widowControl w:val="false"/>
        <w:ind w:firstLine="567"/>
        <w:rPr>
          <w:rFonts w:ascii="Times New Roman" w:hAnsi="Times New Roman"/>
          <w:sz w:val="28"/>
          <w:szCs w:val="28"/>
        </w:rPr>
      </w:pPr>
      <w:r>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9" w:tgtFrame="https://www.cbr.ru/currency_base/daily/">
        <w:r>
          <w:rPr>
            <w:rStyle w:val="-"/>
            <w:rFonts w:ascii="Times New Roman" w:hAnsi="Times New Roman"/>
            <w:sz w:val="28"/>
            <w:szCs w:val="28"/>
          </w:rPr>
          <w:t>https://www.cbr.ru/currency_base/daily/</w:t>
        </w:r>
      </w:hyperlink>
      <w:r>
        <w:rPr>
          <w:rFonts w:ascii="Times New Roman" w:hAnsi="Times New Roman"/>
          <w:sz w:val="28"/>
          <w:szCs w:val="28"/>
        </w:rPr>
        <w:t>.</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pPr>
        <w:pStyle w:val="ListParagraph"/>
        <w:widowControl w:val="false"/>
        <w:numPr>
          <w:ilvl w:val="0"/>
          <w:numId w:val="1"/>
        </w:numPr>
        <w:ind w:left="0" w:firstLine="567"/>
        <w:rPr>
          <w:rFonts w:ascii="Times New Roman" w:hAnsi="Times New Roman"/>
          <w:sz w:val="28"/>
          <w:szCs w:val="28"/>
        </w:rPr>
      </w:pPr>
      <w:bookmarkStart w:id="10" w:name="Par633"/>
      <w:bookmarkEnd w:id="1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pPr>
        <w:pStyle w:val="Normal"/>
        <w:ind w:firstLine="567"/>
        <w:rPr>
          <w:rFonts w:ascii="Times New Roman" w:hAnsi="Times New Roman"/>
          <w:sz w:val="28"/>
          <w:szCs w:val="28"/>
        </w:rPr>
      </w:pPr>
      <w:r>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pStyle w:val="Normal"/>
        <w:ind w:firstLine="567"/>
        <w:rPr>
          <w:rFonts w:ascii="Times New Roman" w:hAnsi="Times New Roman"/>
          <w:sz w:val="28"/>
          <w:szCs w:val="28"/>
        </w:rPr>
      </w:pPr>
      <w:r>
        <w:rPr>
          <w:rFonts w:ascii="Times New Roman" w:hAnsi="Times New Roman"/>
          <w:sz w:val="28"/>
          <w:szCs w:val="28"/>
        </w:rPr>
        <w:t>2) договор финансовой аренды (лизинг);</w:t>
      </w:r>
    </w:p>
    <w:p>
      <w:pPr>
        <w:pStyle w:val="Normal"/>
        <w:ind w:firstLine="567"/>
        <w:rPr>
          <w:rFonts w:ascii="Times New Roman" w:hAnsi="Times New Roman"/>
          <w:sz w:val="28"/>
          <w:szCs w:val="28"/>
        </w:rPr>
      </w:pPr>
      <w:r>
        <w:rPr>
          <w:rFonts w:ascii="Times New Roman" w:hAnsi="Times New Roman"/>
          <w:sz w:val="28"/>
          <w:szCs w:val="28"/>
        </w:rPr>
        <w:t>3) договор займа;</w:t>
      </w:r>
    </w:p>
    <w:p>
      <w:pPr>
        <w:pStyle w:val="ListParagraph"/>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pPr>
        <w:pStyle w:val="ListParagraph"/>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pPr>
        <w:pStyle w:val="Normal"/>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(финансовые);</w:t>
      </w:r>
    </w:p>
    <w:p>
      <w:pPr>
        <w:pStyle w:val="Normal"/>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Normal"/>
        <w:ind w:firstLine="567"/>
        <w:rPr>
          <w:rFonts w:ascii="Times New Roman" w:hAnsi="Times New Roman"/>
          <w:sz w:val="28"/>
          <w:szCs w:val="28"/>
        </w:rPr>
      </w:pPr>
      <w:r>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pPr>
        <w:pStyle w:val="Normal"/>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pPr>
        <w:pStyle w:val="Normal"/>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pPr>
        <w:pStyle w:val="Normal"/>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pPr>
        <w:pStyle w:val="Normal"/>
        <w:ind w:firstLine="567"/>
        <w:rPr>
          <w:rFonts w:ascii="Times New Roman" w:hAnsi="Times New Roman"/>
          <w:sz w:val="28"/>
          <w:szCs w:val="28"/>
        </w:rPr>
      </w:pPr>
      <w:r>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pPr>
        <w:pStyle w:val="Normal"/>
        <w:ind w:firstLine="567"/>
        <w:rPr>
          <w:rFonts w:ascii="Times New Roman" w:hAnsi="Times New Roman"/>
          <w:sz w:val="28"/>
          <w:szCs w:val="28"/>
        </w:rPr>
      </w:pPr>
      <w:r>
        <w:rPr>
          <w:rFonts w:ascii="Times New Roman" w:hAnsi="Times New Roman"/>
          <w:sz w:val="28"/>
          <w:szCs w:val="28"/>
        </w:rPr>
        <w:t>14) фьючерсный договор;</w:t>
      </w:r>
    </w:p>
    <w:p>
      <w:pPr>
        <w:pStyle w:val="Normal"/>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 решением суда.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pPr>
        <w:pStyle w:val="ListParagraph"/>
        <w:widowControl w:val="false"/>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Normal"/>
        <w:ind w:firstLine="567"/>
        <w:rPr>
          <w:rFonts w:ascii="Times New Roman" w:hAnsi="Times New Roman"/>
          <w:sz w:val="28"/>
          <w:szCs w:val="28"/>
        </w:rPr>
      </w:pPr>
      <w:r>
        <w:rPr>
          <w:rFonts w:ascii="Times New Roman" w:hAnsi="Times New Roman"/>
          <w:sz w:val="28"/>
          <w:szCs w:val="28"/>
        </w:rPr>
        <w:t>Данный порядок применяется также в случае использования счетов эскроу.</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pPr>
        <w:pStyle w:val="Normal"/>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ListParagraph"/>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созаемщиков. </w:t>
      </w:r>
    </w:p>
    <w:p>
      <w:pPr>
        <w:pStyle w:val="Normal"/>
        <w:ind w:firstLine="567"/>
        <w:rPr>
          <w:rFonts w:ascii="Times New Roman" w:hAnsi="Times New Roman"/>
          <w:sz w:val="28"/>
          <w:szCs w:val="28"/>
        </w:rPr>
      </w:pPr>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pPr>
        <w:pStyle w:val="Normal"/>
        <w:ind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"Содержание обязательства"</w:t>
      </w:r>
      <w:r>
        <w:rPr>
          <w:rFonts w:ascii="Times New Roman" w:hAnsi="Times New Roman"/>
          <w:sz w:val="28"/>
          <w:szCs w:val="28"/>
        </w:rPr>
        <w:t xml:space="preserve"> указывается вид страхования, в графе </w:t>
      </w:r>
      <w:r>
        <w:rPr>
          <w:rFonts w:ascii="Times New Roman" w:hAnsi="Times New Roman"/>
          <w:b/>
          <w:sz w:val="28"/>
        </w:rPr>
        <w:t>"Кредитор (должник)"</w:t>
      </w:r>
      <w:r>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Pr>
          <w:rFonts w:ascii="Times New Roman" w:hAnsi="Times New Roman"/>
          <w:b/>
          <w:sz w:val="28"/>
        </w:rPr>
        <w:t>"Сумма обязательства"</w:t>
      </w:r>
      <w:r>
        <w:rPr>
          <w:rFonts w:ascii="Times New Roman" w:hAnsi="Times New Roman"/>
          <w:sz w:val="28"/>
          <w:szCs w:val="28"/>
        </w:rPr>
        <w:t xml:space="preserve"> указывается страховая премия по договору. В графе </w:t>
      </w:r>
      <w:r>
        <w:rPr>
          <w:rFonts w:ascii="Times New Roman" w:hAnsi="Times New Roman"/>
          <w:b/>
          <w:sz w:val="28"/>
        </w:rPr>
        <w:t>"Условия обязательства"</w:t>
      </w:r>
      <w:r>
        <w:rPr>
          <w:rFonts w:ascii="Times New Roman" w:hAnsi="Times New Roman"/>
          <w:sz w:val="28"/>
          <w:szCs w:val="28"/>
        </w:rPr>
        <w:t xml:space="preserve"> могут быть указаны сроки окончания договора страхования.</w:t>
      </w:r>
    </w:p>
    <w:p>
      <w:pPr>
        <w:pStyle w:val="Normal"/>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pPr>
        <w:pStyle w:val="Normal"/>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pPr>
        <w:pStyle w:val="Normal"/>
        <w:ind w:firstLine="567"/>
        <w:rPr>
          <w:rFonts w:ascii="Times New Roman" w:hAnsi="Times New Roman"/>
          <w:sz w:val="28"/>
          <w:szCs w:val="28"/>
        </w:rPr>
      </w:pPr>
      <w:r>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pPr>
        <w:pStyle w:val="Normal"/>
        <w:ind w:firstLine="567"/>
        <w:rPr>
          <w:rFonts w:ascii="Times New Roman" w:hAnsi="Times New Roman"/>
          <w:sz w:val="28"/>
          <w:szCs w:val="28"/>
        </w:rPr>
      </w:pPr>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pPr>
        <w:pStyle w:val="Normal"/>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w:t>
      </w:r>
    </w:p>
    <w:p>
      <w:pPr>
        <w:pStyle w:val="Normal"/>
        <w:ind w:hanging="0"/>
        <w:jc w:val="left"/>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pPr>
        <w:pStyle w:val="ListParagraph"/>
        <w:widowControl w:val="false"/>
        <w:ind w:left="0" w:firstLine="567"/>
        <w:rPr>
          <w:rFonts w:ascii="Times New Roman" w:hAnsi="Times New Roman"/>
          <w:sz w:val="28"/>
          <w:szCs w:val="28"/>
        </w:rPr>
      </w:pPr>
      <w:r>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108 настоящих Методических рекомендаций), местонахождение (адрес) в соответствии с пунктами 116 и 117 настоящих Методических рекомендаций, площадь (кв. м) в соответствии с пунктом 118 настоящих Методических рекомендаций.</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r>
        <w:rPr>
          <w:rFonts w:eastAsia="Times New Roman" w:ascii="Times New Roman" w:hAnsi="Times New Roman"/>
          <w:sz w:val="28"/>
          <w:szCs w:val="28"/>
          <w:lang w:eastAsia="ru-RU"/>
        </w:rPr>
        <w:t>(с учетом положений пункта 54 настоящих Методических рекомендаций)</w:t>
      </w:r>
      <w:r>
        <w:rPr>
          <w:rFonts w:ascii="Times New Roman" w:hAnsi="Times New Roman"/>
          <w:sz w:val="28"/>
          <w:szCs w:val="28"/>
        </w:rPr>
        <w:t xml:space="preserve">. </w:t>
      </w:r>
    </w:p>
    <w:p>
      <w:pPr>
        <w:pStyle w:val="ListParagraph"/>
        <w:widowControl w:val="false"/>
        <w:ind w:left="0" w:firstLine="567"/>
        <w:rPr>
          <w:rFonts w:ascii="Times New Roman" w:hAnsi="Times New Roman"/>
          <w:sz w:val="28"/>
          <w:szCs w:val="28"/>
        </w:rPr>
      </w:pPr>
      <w:r>
        <w:rPr>
          <w:rFonts w:ascii="Times New Roman" w:hAnsi="Times New Roman"/>
          <w:sz w:val="28"/>
          <w:szCs w:val="28"/>
        </w:rPr>
        <w:t>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179 настоящих Методических рекомендаций, местонахождение организации (адрес) в соответствии с пунктом 180 настоящих Методических рекомендаций, уставный капитал в соответствии с пунктом 181 настоящих Методических рекомендаций, доли участия в соответствии с пунктом 182 настоящих Методических рекомендаций.</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Style13"/>
          <w:rFonts w:cs="Times New Roman" w:ascii="Times New Roman" w:hAnsi="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"Основание отчуждения имущества</w:t>
      </w:r>
      <w:r>
        <w:rPr>
          <w:rStyle w:val="Style13"/>
          <w:rFonts w:cs="Times New Roman" w:ascii="Times New Roman" w:hAnsi="Times New Roman"/>
          <w:b/>
          <w:sz w:val="28"/>
          <w:szCs w:val="28"/>
          <w:shd w:fill="auto" w:val="clear"/>
        </w:rPr>
        <w:t xml:space="preserve"> (права)"</w:t>
      </w:r>
      <w:r>
        <w:rPr>
          <w:rStyle w:val="Style13"/>
          <w:rFonts w:cs="Times New Roman" w:ascii="Times New Roman" w:hAnsi="Times New Roman"/>
          <w:sz w:val="28"/>
          <w:szCs w:val="28"/>
          <w:shd w:fill="auto" w:val="clear"/>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Style13"/>
          <w:rFonts w:cs="Times New Roman" w:ascii="Times New Roman" w:hAnsi="Times New Roman"/>
          <w:sz w:val="28"/>
          <w:szCs w:val="28"/>
          <w:shd w:fill="auto" w:val="clear"/>
        </w:rPr>
        <w:t>Для цифровых финансовых активов, цифровых прав и цифровой валюты также указывается дата их отчуждения.</w:t>
      </w:r>
    </w:p>
    <w:p>
      <w:pPr>
        <w:pStyle w:val="ListParagraph"/>
        <w:widowControl w:val="false"/>
        <w:ind w:left="567" w:hanging="0"/>
        <w:rPr>
          <w:rStyle w:val="Style13"/>
          <w:rFonts w:ascii="Times New Roman" w:hAnsi="Times New Roman" w:cs="Times New Roman"/>
          <w:b/>
          <w:sz w:val="28"/>
          <w:szCs w:val="28"/>
          <w:shd w:fill="auto" w:val="clear"/>
        </w:rPr>
      </w:pPr>
      <w:r>
        <w:rPr>
          <w:rFonts w:cs="Times New Roman" w:ascii="Times New Roman" w:hAnsi="Times New Roman"/>
          <w:b/>
          <w:sz w:val="28"/>
          <w:szCs w:val="28"/>
          <w:shd w:fill="auto" w:val="clear"/>
        </w:rPr>
      </w:r>
    </w:p>
    <w:p>
      <w:pPr>
        <w:pStyle w:val="ListParagraph"/>
        <w:ind w:left="0" w:firstLine="709"/>
        <w:jc w:val="center"/>
        <w:rPr>
          <w:rStyle w:val="Style13"/>
          <w:rFonts w:ascii="Times New Roman" w:hAnsi="Times New Roman" w:eastAsia="Times New Roman" w:cs="Times New Roman"/>
          <w:sz w:val="20"/>
          <w:szCs w:val="20"/>
          <w:shd w:fill="auto" w:val="clear"/>
        </w:rPr>
      </w:pPr>
      <w:r>
        <w:rPr>
          <w:rFonts w:eastAsia="Times New Roman" w:cs="Times New Roman" w:ascii="Times New Roman" w:hAnsi="Times New Roman"/>
          <w:sz w:val="20"/>
          <w:szCs w:val="20"/>
          <w:shd w:fill="auto" w:val="clear"/>
        </w:rPr>
      </w:r>
    </w:p>
    <w:sectPr>
      <w:headerReference w:type="default" r:id="rId30"/>
      <w:type w:val="nextPage"/>
      <w:pgSz w:w="11906" w:h="16838"/>
      <w:pgMar w:left="1134" w:right="567" w:gutter="0" w:header="454"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roman"/>
    <w:pitch w:val="default"/>
  </w:font>
  <w:font w:name="Times New Roman">
    <w:charset w:val="01"/>
    <w:family w:val="roman"/>
    <w:pitch w:val="default"/>
  </w:font>
  <w:font w:name="Tahoma">
    <w:charset w:val="01"/>
    <w:family w:val="roman"/>
    <w:pitch w:val="default"/>
  </w:font>
  <w:font w:name="PT Astra Serif">
    <w:charset w:val="01"/>
    <w:family w:val="roman"/>
    <w:pitch w:val="default"/>
  </w:font>
  <w:font w:name="Courier New">
    <w:charset w:val="01"/>
    <w:family w:val="roman"/>
    <w:pitch w:val="default"/>
  </w:font>
  <w:font w:name="Times New Roman">
    <w:charset w:val="01"/>
    <w:family w:val="roman"/>
    <w:pitch w:val="variable"/>
  </w:font>
  <w:font w:name="Segoe UI Symbol">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2"/>
      <w:jc w:val="center"/>
      <w:rPr>
        <w:rFonts w:ascii="Times New Roman" w:hAnsi="Times New Roman" w:eastAsia="Times New Roman"/>
        <w:sz w:val="28"/>
      </w:rPr>
    </w:pPr>
    <w:r>
      <w:rPr>
        <w:rFonts w:eastAsia="Times New Roman" w:ascii="Times New Roman" w:hAnsi="Times New Roman"/>
        <w:sz w:val="28"/>
      </w:rPr>
      <w:fldChar w:fldCharType="begin"/>
    </w:r>
    <w:r>
      <w:rPr>
        <w:sz w:val="28"/>
        <w:rFonts w:eastAsia="Times New Roman" w:ascii="Times New Roman" w:hAnsi="Times New Roman"/>
      </w:rPr>
      <w:instrText xml:space="preserve"> PAGE </w:instrText>
    </w:r>
    <w:r>
      <w:rPr>
        <w:sz w:val="28"/>
        <w:rFonts w:eastAsia="Times New Roman" w:ascii="Times New Roman" w:hAnsi="Times New Roman"/>
      </w:rPr>
      <w:fldChar w:fldCharType="separate"/>
    </w:r>
    <w:r>
      <w:rPr>
        <w:sz w:val="28"/>
        <w:rFonts w:eastAsia="Times New Roman" w:ascii="Times New Roman" w:hAnsi="Times New Roman"/>
      </w:rPr>
      <w:t>64</w:t>
    </w:r>
    <w:r>
      <w:rPr>
        <w:sz w:val="28"/>
        <w:rFonts w:eastAsia="Times New Roman" w:ascii="Times New Roman" w:hAnsi="Times New Roman"/>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2422" w:hanging="720"/>
      </w:pPr>
      <w:rPr>
        <w:sz w:val="28"/>
        <w:b w:val="false"/>
        <w:szCs w:val="28"/>
        <w:color w:val="auto"/>
      </w:rPr>
    </w:lvl>
    <w:lvl w:ilvl="1">
      <w:start w:val="1"/>
      <w:numFmt w:val="decimal"/>
      <w:lvlText w:val="%2)"/>
      <w:lvlJc w:val="left"/>
      <w:pPr>
        <w:tabs>
          <w:tab w:val="num" w:pos="0"/>
        </w:tabs>
        <w:ind w:left="2858" w:hanging="360"/>
      </w:pPr>
      <w:rPr/>
    </w:lvl>
    <w:lvl w:ilvl="2">
      <w:start w:val="1"/>
      <w:numFmt w:val="lowerRoman"/>
      <w:lvlText w:val="%3."/>
      <w:lvlJc w:val="right"/>
      <w:pPr>
        <w:tabs>
          <w:tab w:val="num" w:pos="0"/>
        </w:tabs>
        <w:ind w:left="3578" w:hanging="180"/>
      </w:pPr>
      <w:rPr/>
    </w:lvl>
    <w:lvl w:ilvl="3">
      <w:start w:val="1"/>
      <w:numFmt w:val="decimal"/>
      <w:lvlText w:val="%4."/>
      <w:lvlJc w:val="left"/>
      <w:pPr>
        <w:tabs>
          <w:tab w:val="num" w:pos="0"/>
        </w:tabs>
        <w:ind w:left="4298" w:hanging="360"/>
      </w:pPr>
      <w:rPr/>
    </w:lvl>
    <w:lvl w:ilvl="4">
      <w:start w:val="1"/>
      <w:numFmt w:val="lowerLetter"/>
      <w:lvlText w:val="%5."/>
      <w:lvlJc w:val="left"/>
      <w:pPr>
        <w:tabs>
          <w:tab w:val="num" w:pos="0"/>
        </w:tabs>
        <w:ind w:left="5018" w:hanging="360"/>
      </w:pPr>
      <w:rPr/>
    </w:lvl>
    <w:lvl w:ilvl="5">
      <w:start w:val="1"/>
      <w:numFmt w:val="lowerRoman"/>
      <w:lvlText w:val="%6."/>
      <w:lvlJc w:val="right"/>
      <w:pPr>
        <w:tabs>
          <w:tab w:val="num" w:pos="0"/>
        </w:tabs>
        <w:ind w:left="5738" w:hanging="180"/>
      </w:pPr>
      <w:rPr/>
    </w:lvl>
    <w:lvl w:ilvl="6">
      <w:start w:val="1"/>
      <w:numFmt w:val="decimal"/>
      <w:lvlText w:val="%7."/>
      <w:lvlJc w:val="left"/>
      <w:pPr>
        <w:tabs>
          <w:tab w:val="num" w:pos="0"/>
        </w:tabs>
        <w:ind w:left="6458" w:hanging="360"/>
      </w:pPr>
      <w:rPr/>
    </w:lvl>
    <w:lvl w:ilvl="7">
      <w:start w:val="1"/>
      <w:numFmt w:val="lowerLetter"/>
      <w:lvlText w:val="%8."/>
      <w:lvlJc w:val="left"/>
      <w:pPr>
        <w:tabs>
          <w:tab w:val="num" w:pos="0"/>
        </w:tabs>
        <w:ind w:left="7178" w:hanging="360"/>
      </w:pPr>
      <w:rPr/>
    </w:lvl>
    <w:lvl w:ilvl="8">
      <w:start w:val="1"/>
      <w:numFmt w:val="lowerRoman"/>
      <w:lvlText w:val="%9."/>
      <w:lvlJc w:val="right"/>
      <w:pPr>
        <w:tabs>
          <w:tab w:val="num" w:pos="0"/>
        </w:tabs>
        <w:ind w:left="7898" w:hanging="180"/>
      </w:pPr>
      <w:rPr/>
    </w:lvl>
  </w:abstractNum>
  <w:abstractNum w:abstractNumId="2">
    <w:lvl w:ilvl="0">
      <w:start w:val="1"/>
      <w:numFmt w:val="decimal"/>
      <w:lvlText w:val="%1)"/>
      <w:lvlJc w:val="left"/>
      <w:pPr>
        <w:tabs>
          <w:tab w:val="num" w:pos="0"/>
        </w:tabs>
        <w:ind w:left="1070" w:hanging="360"/>
      </w:pPr>
      <w:rPr>
        <w:sz w:val="28"/>
        <w:b w:val="false"/>
        <w:szCs w:val="28"/>
        <w:rFonts w:ascii="Times New Roman" w:hAnsi="Times New Roman" w:cs="Times New Roman"/>
      </w:rPr>
    </w:lvl>
    <w:lvl w:ilvl="1">
      <w:start w:val="1"/>
      <w:numFmt w:val="lowerLetter"/>
      <w:lvlText w:val="%2."/>
      <w:lvlJc w:val="left"/>
      <w:pPr>
        <w:tabs>
          <w:tab w:val="num" w:pos="0"/>
        </w:tabs>
        <w:ind w:left="229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3">
    <w:lvl w:ilvl="0">
      <w:start w:val="1"/>
      <w:numFmt w:val="decimal"/>
      <w:lvlText w:val="%1)"/>
      <w:lvlJc w:val="left"/>
      <w:pPr>
        <w:tabs>
          <w:tab w:val="num" w:pos="0"/>
        </w:tabs>
        <w:ind w:left="928" w:hanging="360"/>
      </w:pPr>
      <w:rPr/>
    </w:lvl>
    <w:lvl w:ilvl="1">
      <w:start w:val="1"/>
      <w:numFmt w:val="lowerLetter"/>
      <w:lvlText w:val="%2."/>
      <w:lvlJc w:val="left"/>
      <w:pPr>
        <w:tabs>
          <w:tab w:val="num" w:pos="0"/>
        </w:tabs>
        <w:ind w:left="2265" w:hanging="360"/>
      </w:pPr>
      <w:rPr/>
    </w:lvl>
    <w:lvl w:ilvl="2">
      <w:start w:val="1"/>
      <w:numFmt w:val="lowerRoman"/>
      <w:lvlText w:val="%3."/>
      <w:lvlJc w:val="right"/>
      <w:pPr>
        <w:tabs>
          <w:tab w:val="num" w:pos="0"/>
        </w:tabs>
        <w:ind w:left="2985" w:hanging="180"/>
      </w:pPr>
      <w:rPr/>
    </w:lvl>
    <w:lvl w:ilvl="3">
      <w:start w:val="1"/>
      <w:numFmt w:val="decimal"/>
      <w:lvlText w:val="%4."/>
      <w:lvlJc w:val="left"/>
      <w:pPr>
        <w:tabs>
          <w:tab w:val="num" w:pos="0"/>
        </w:tabs>
        <w:ind w:left="3705" w:hanging="360"/>
      </w:pPr>
      <w:rPr/>
    </w:lvl>
    <w:lvl w:ilvl="4">
      <w:start w:val="1"/>
      <w:numFmt w:val="lowerLetter"/>
      <w:lvlText w:val="%5."/>
      <w:lvlJc w:val="left"/>
      <w:pPr>
        <w:tabs>
          <w:tab w:val="num" w:pos="0"/>
        </w:tabs>
        <w:ind w:left="4425" w:hanging="360"/>
      </w:pPr>
      <w:rPr/>
    </w:lvl>
    <w:lvl w:ilvl="5">
      <w:start w:val="1"/>
      <w:numFmt w:val="lowerRoman"/>
      <w:lvlText w:val="%6."/>
      <w:lvlJc w:val="right"/>
      <w:pPr>
        <w:tabs>
          <w:tab w:val="num" w:pos="0"/>
        </w:tabs>
        <w:ind w:left="5145" w:hanging="180"/>
      </w:pPr>
      <w:rPr/>
    </w:lvl>
    <w:lvl w:ilvl="6">
      <w:start w:val="1"/>
      <w:numFmt w:val="decimal"/>
      <w:lvlText w:val="%7."/>
      <w:lvlJc w:val="left"/>
      <w:pPr>
        <w:tabs>
          <w:tab w:val="num" w:pos="0"/>
        </w:tabs>
        <w:ind w:left="5865" w:hanging="360"/>
      </w:pPr>
      <w:rPr/>
    </w:lvl>
    <w:lvl w:ilvl="7">
      <w:start w:val="1"/>
      <w:numFmt w:val="lowerLetter"/>
      <w:lvlText w:val="%8."/>
      <w:lvlJc w:val="left"/>
      <w:pPr>
        <w:tabs>
          <w:tab w:val="num" w:pos="0"/>
        </w:tabs>
        <w:ind w:left="6585" w:hanging="360"/>
      </w:pPr>
      <w:rPr/>
    </w:lvl>
    <w:lvl w:ilvl="8">
      <w:start w:val="1"/>
      <w:numFmt w:val="lowerRoman"/>
      <w:lvlText w:val="%9."/>
      <w:lvlJc w:val="right"/>
      <w:pPr>
        <w:tabs>
          <w:tab w:val="num" w:pos="0"/>
        </w:tabs>
        <w:ind w:left="7305" w:hanging="180"/>
      </w:pPr>
      <w:rPr/>
    </w:lvl>
  </w:abstractNum>
  <w:abstractNum w:abstractNumId="4">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5">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7">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ind w:firstLine="709"/>
      <w:jc w:val="both"/>
    </w:pPr>
    <w:rPr>
      <w:rFonts w:ascii="Calibri" w:hAnsi="Calibri" w:eastAsia="Calibri" w:cs="Times New Roman"/>
      <w:color w:val="auto"/>
      <w:kern w:val="0"/>
      <w:sz w:val="22"/>
      <w:szCs w:val="22"/>
      <w:lang w:val="ru-RU" w:eastAsia="en-US" w:bidi="ar-SA"/>
    </w:rPr>
  </w:style>
  <w:style w:type="paragraph" w:styleId="1">
    <w:name w:val="Heading 1"/>
    <w:basedOn w:val="Normal"/>
    <w:next w:val="Normal"/>
    <w:link w:val="11"/>
    <w:uiPriority w:val="9"/>
    <w:qFormat/>
    <w:pPr>
      <w:keepNext w:val="true"/>
      <w:keepLines/>
      <w:spacing w:before="480" w:after="200"/>
      <w:outlineLvl w:val="0"/>
    </w:pPr>
    <w:rPr>
      <w:rFonts w:ascii="Arial" w:hAnsi="Arial" w:eastAsia="Arial" w:cs="Arial"/>
      <w:sz w:val="40"/>
      <w:szCs w:val="40"/>
    </w:rPr>
  </w:style>
  <w:style w:type="paragraph" w:styleId="2">
    <w:name w:val="Heading 2"/>
    <w:basedOn w:val="Normal"/>
    <w:next w:val="Normal"/>
    <w:link w:val="21"/>
    <w:uiPriority w:val="9"/>
    <w:unhideWhenUsed/>
    <w:qFormat/>
    <w:pPr>
      <w:keepNext w:val="true"/>
      <w:keepLines/>
      <w:spacing w:before="360" w:after="200"/>
      <w:outlineLvl w:val="1"/>
    </w:pPr>
    <w:rPr>
      <w:rFonts w:ascii="Arial" w:hAnsi="Arial" w:eastAsia="Arial" w:cs="Arial"/>
      <w:sz w:val="34"/>
    </w:rPr>
  </w:style>
  <w:style w:type="paragraph" w:styleId="3">
    <w:name w:val="Heading 3"/>
    <w:basedOn w:val="Normal"/>
    <w:next w:val="Normal"/>
    <w:link w:val="31"/>
    <w:uiPriority w:val="9"/>
    <w:unhideWhenUsed/>
    <w:qFormat/>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41"/>
    <w:uiPriority w:val="9"/>
    <w:unhideWhenUsed/>
    <w:qFormat/>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51"/>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61"/>
    <w:uiPriority w:val="9"/>
    <w:unhideWhenUsed/>
    <w:qFormat/>
    <w:pPr>
      <w:keepNext w:val="true"/>
      <w:keepLines/>
      <w:spacing w:before="320" w:after="200"/>
      <w:outlineLvl w:val="5"/>
    </w:pPr>
    <w:rPr>
      <w:rFonts w:ascii="Arial" w:hAnsi="Arial" w:eastAsia="Arial" w:cs="Arial"/>
      <w:b/>
      <w:bCs/>
    </w:rPr>
  </w:style>
  <w:style w:type="paragraph" w:styleId="7">
    <w:name w:val="Heading 7"/>
    <w:basedOn w:val="Normal"/>
    <w:next w:val="Normal"/>
    <w:link w:val="71"/>
    <w:uiPriority w:val="9"/>
    <w:unhideWhenUsed/>
    <w:qFormat/>
    <w:pPr>
      <w:keepNext w:val="true"/>
      <w:keepLines/>
      <w:spacing w:before="320" w:after="200"/>
      <w:outlineLvl w:val="6"/>
    </w:pPr>
    <w:rPr>
      <w:rFonts w:ascii="Arial" w:hAnsi="Arial" w:eastAsia="Arial" w:cs="Arial"/>
      <w:b/>
      <w:bCs/>
      <w:i/>
      <w:iCs/>
    </w:rPr>
  </w:style>
  <w:style w:type="paragraph" w:styleId="8">
    <w:name w:val="Heading 8"/>
    <w:basedOn w:val="Normal"/>
    <w:next w:val="Normal"/>
    <w:link w:val="81"/>
    <w:uiPriority w:val="9"/>
    <w:unhideWhenUsed/>
    <w:qFormat/>
    <w:pPr>
      <w:keepNext w:val="true"/>
      <w:keepLines/>
      <w:spacing w:before="320" w:after="200"/>
      <w:outlineLvl w:val="7"/>
    </w:pPr>
    <w:rPr>
      <w:rFonts w:ascii="Arial" w:hAnsi="Arial" w:eastAsia="Arial" w:cs="Arial"/>
      <w:i/>
      <w:iCs/>
    </w:rPr>
  </w:style>
  <w:style w:type="paragraph" w:styleId="9">
    <w:name w:val="Heading 9"/>
    <w:basedOn w:val="Normal"/>
    <w:next w:val="Normal"/>
    <w:link w:val="91"/>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Pr>
      <w:rFonts w:ascii="Arial" w:hAnsi="Arial" w:eastAsia="Arial" w:cs="Arial"/>
      <w:sz w:val="40"/>
      <w:szCs w:val="40"/>
    </w:rPr>
  </w:style>
  <w:style w:type="character" w:styleId="21" w:customStyle="1">
    <w:name w:val="Заголовок 2 Знак"/>
    <w:basedOn w:val="DefaultParagraphFont"/>
    <w:uiPriority w:val="9"/>
    <w:qFormat/>
    <w:rPr>
      <w:rFonts w:ascii="Arial" w:hAnsi="Arial" w:eastAsia="Arial" w:cs="Arial"/>
      <w:sz w:val="34"/>
    </w:rPr>
  </w:style>
  <w:style w:type="character" w:styleId="31" w:customStyle="1">
    <w:name w:val="Заголовок 3 Знак"/>
    <w:basedOn w:val="DefaultParagraphFont"/>
    <w:uiPriority w:val="9"/>
    <w:qFormat/>
    <w:rPr>
      <w:rFonts w:ascii="Arial" w:hAnsi="Arial" w:eastAsia="Arial" w:cs="Arial"/>
      <w:sz w:val="30"/>
      <w:szCs w:val="30"/>
    </w:rPr>
  </w:style>
  <w:style w:type="character" w:styleId="41" w:customStyle="1">
    <w:name w:val="Заголовок 4 Знак"/>
    <w:basedOn w:val="DefaultParagraphFont"/>
    <w:uiPriority w:val="9"/>
    <w:qFormat/>
    <w:rPr>
      <w:rFonts w:ascii="Arial" w:hAnsi="Arial" w:eastAsia="Arial" w:cs="Arial"/>
      <w:b/>
      <w:bCs/>
      <w:sz w:val="26"/>
      <w:szCs w:val="26"/>
    </w:rPr>
  </w:style>
  <w:style w:type="character" w:styleId="51" w:customStyle="1">
    <w:name w:val="Заголовок 5 Знак"/>
    <w:basedOn w:val="DefaultParagraphFont"/>
    <w:uiPriority w:val="9"/>
    <w:qFormat/>
    <w:rPr>
      <w:rFonts w:ascii="Arial" w:hAnsi="Arial" w:eastAsia="Arial" w:cs="Arial"/>
      <w:b/>
      <w:bCs/>
      <w:sz w:val="24"/>
      <w:szCs w:val="24"/>
    </w:rPr>
  </w:style>
  <w:style w:type="character" w:styleId="61" w:customStyle="1">
    <w:name w:val="Заголовок 6 Знак"/>
    <w:basedOn w:val="DefaultParagraphFont"/>
    <w:uiPriority w:val="9"/>
    <w:qFormat/>
    <w:rPr>
      <w:rFonts w:ascii="Arial" w:hAnsi="Arial" w:eastAsia="Arial" w:cs="Arial"/>
      <w:b/>
      <w:bCs/>
      <w:sz w:val="22"/>
      <w:szCs w:val="22"/>
    </w:rPr>
  </w:style>
  <w:style w:type="character" w:styleId="71" w:customStyle="1">
    <w:name w:val="Заголовок 7 Знак"/>
    <w:basedOn w:val="DefaultParagraphFont"/>
    <w:uiPriority w:val="9"/>
    <w:qFormat/>
    <w:rPr>
      <w:rFonts w:ascii="Arial" w:hAnsi="Arial" w:eastAsia="Arial" w:cs="Arial"/>
      <w:b/>
      <w:bCs/>
      <w:i/>
      <w:iCs/>
      <w:sz w:val="22"/>
      <w:szCs w:val="22"/>
    </w:rPr>
  </w:style>
  <w:style w:type="character" w:styleId="81" w:customStyle="1">
    <w:name w:val="Заголовок 8 Знак"/>
    <w:basedOn w:val="DefaultParagraphFont"/>
    <w:uiPriority w:val="9"/>
    <w:qFormat/>
    <w:rPr>
      <w:rFonts w:ascii="Arial" w:hAnsi="Arial" w:eastAsia="Arial" w:cs="Arial"/>
      <w:i/>
      <w:iCs/>
      <w:sz w:val="22"/>
      <w:szCs w:val="22"/>
    </w:rPr>
  </w:style>
  <w:style w:type="character" w:styleId="91"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Название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2"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8" w:customStyle="1">
    <w:name w:val="Текст концевой сноски Знак"/>
    <w:uiPriority w:val="99"/>
    <w:qFormat/>
    <w:rPr>
      <w:sz w:val="20"/>
    </w:rPr>
  </w:style>
  <w:style w:type="character" w:styleId="Style9">
    <w:name w:val="Символ концевой сноски"/>
    <w:uiPriority w:val="99"/>
    <w:semiHidden/>
    <w:unhideWhenUsed/>
    <w:qFormat/>
    <w:rPr>
      <w:vertAlign w:val="superscript"/>
    </w:rPr>
  </w:style>
  <w:style w:type="character" w:styleId="Style10">
    <w:name w:val="Endnote Reference"/>
    <w:rPr>
      <w:vertAlign w:val="superscript"/>
    </w:rPr>
  </w:style>
  <w:style w:type="character" w:styleId="Style11" w:customStyle="1">
    <w:name w:val="Верхний колонтитул Знак"/>
    <w:basedOn w:val="DefaultParagraphFont"/>
    <w:uiPriority w:val="99"/>
    <w:qFormat/>
    <w:rPr/>
  </w:style>
  <w:style w:type="character" w:styleId="Style12" w:customStyle="1">
    <w:name w:val="Нижний колонтитул Знак"/>
    <w:basedOn w:val="DefaultParagraphFont"/>
    <w:uiPriority w:val="99"/>
    <w:qFormat/>
    <w:rPr/>
  </w:style>
  <w:style w:type="character" w:styleId="Style13" w:customStyle="1">
    <w:name w:val="Основной текст Знак"/>
    <w:qFormat/>
    <w:rPr>
      <w:rFonts w:ascii="Calibri" w:hAnsi="Calibri" w:cs="Calibri"/>
      <w:shd w:fill="FFFFFF" w:val="clear"/>
    </w:rPr>
  </w:style>
  <w:style w:type="character" w:styleId="12" w:customStyle="1">
    <w:name w:val="Основной текст Знак1"/>
    <w:basedOn w:val="DefaultParagraphFont"/>
    <w:uiPriority w:val="99"/>
    <w:semiHidden/>
    <w:qFormat/>
    <w:rPr/>
  </w:style>
  <w:style w:type="character" w:styleId="Apple-converted-space" w:customStyle="1">
    <w:name w:val="apple-converted-space"/>
    <w:basedOn w:val="DefaultParagraphFont"/>
    <w:qFormat/>
    <w:rPr/>
  </w:style>
  <w:style w:type="character" w:styleId="Style14" w:customStyle="1">
    <w:name w:val="Текст сноски Знак"/>
    <w:uiPriority w:val="99"/>
    <w:qFormat/>
    <w:rPr>
      <w:rFonts w:ascii="Times New Roman" w:hAnsi="Times New Roman" w:eastAsia="Times New Roman" w:cs="Times New Roman"/>
      <w:sz w:val="20"/>
      <w:szCs w:val="20"/>
      <w:lang w:eastAsia="ru-RU"/>
    </w:rPr>
  </w:style>
  <w:style w:type="character" w:styleId="Style15">
    <w:name w:val="Символ сноски"/>
    <w:uiPriority w:val="99"/>
    <w:semiHidden/>
    <w:qFormat/>
    <w:rPr>
      <w:vertAlign w:val="superscript"/>
    </w:rPr>
  </w:style>
  <w:style w:type="character" w:styleId="Style16">
    <w:name w:val="Footnote Reference"/>
    <w:rPr>
      <w:vertAlign w:val="superscript"/>
    </w:rPr>
  </w:style>
  <w:style w:type="character" w:styleId="FontStyle12" w:customStyle="1">
    <w:name w:val="Font Style12"/>
    <w:qFormat/>
    <w:rPr>
      <w:rFonts w:ascii="Times New Roman" w:hAnsi="Times New Roman" w:cs="Times New Roman"/>
      <w:sz w:val="24"/>
      <w:szCs w:val="24"/>
    </w:rPr>
  </w:style>
  <w:style w:type="character" w:styleId="Style17" w:customStyle="1">
    <w:name w:val="Основной текст_"/>
    <w:link w:val="14"/>
    <w:qFormat/>
    <w:rPr>
      <w:sz w:val="28"/>
      <w:szCs w:val="28"/>
      <w:shd w:fill="FFFFFF" w:val="clear"/>
    </w:rPr>
  </w:style>
  <w:style w:type="character" w:styleId="Style18" w:customStyle="1">
    <w:name w:val="Текст выноски Знак"/>
    <w:link w:val="BalloonText"/>
    <w:uiPriority w:val="99"/>
    <w:semiHidden/>
    <w:qFormat/>
    <w:rPr>
      <w:rFonts w:ascii="Tahoma" w:hAnsi="Tahoma" w:cs="Tahoma"/>
      <w:sz w:val="16"/>
      <w:szCs w:val="16"/>
    </w:rPr>
  </w:style>
  <w:style w:type="character" w:styleId="Annotationreference">
    <w:name w:val="annotation reference"/>
    <w:uiPriority w:val="99"/>
    <w:semiHidden/>
    <w:unhideWhenUsed/>
    <w:qFormat/>
    <w:rPr>
      <w:sz w:val="16"/>
      <w:szCs w:val="16"/>
    </w:rPr>
  </w:style>
  <w:style w:type="character" w:styleId="Style19" w:customStyle="1">
    <w:name w:val="Текст примечания Знак"/>
    <w:link w:val="Annotationtext"/>
    <w:uiPriority w:val="99"/>
    <w:qFormat/>
    <w:rPr>
      <w:sz w:val="20"/>
      <w:szCs w:val="20"/>
    </w:rPr>
  </w:style>
  <w:style w:type="character" w:styleId="Style20" w:customStyle="1">
    <w:name w:val="Тема примечания Знак"/>
    <w:link w:val="Annotationsubject"/>
    <w:uiPriority w:val="99"/>
    <w:semiHidden/>
    <w:qFormat/>
    <w:rPr>
      <w:b/>
      <w:bCs/>
      <w:sz w:val="20"/>
      <w:szCs w:val="20"/>
    </w:rPr>
  </w:style>
  <w:style w:type="character" w:styleId="111" w:customStyle="1">
    <w:name w:val="Основной текст Знак11"/>
    <w:uiPriority w:val="99"/>
    <w:semiHidden/>
    <w:qFormat/>
    <w:rPr>
      <w:rFonts w:cs="Times New Roman"/>
    </w:rPr>
  </w:style>
  <w:style w:type="character" w:styleId="-">
    <w:name w:val="Hyperlink"/>
    <w:basedOn w:val="DefaultParagraphFont"/>
    <w:uiPriority w:val="99"/>
    <w:unhideWhenUsed/>
    <w:rPr>
      <w:color w:val="0563C1" w:themeColor="hyperlink"/>
      <w:u w:val="single"/>
    </w:rPr>
  </w:style>
  <w:style w:type="character" w:styleId="FontStyle33" w:customStyle="1">
    <w:name w:val="Font Style33"/>
    <w:basedOn w:val="DefaultParagraphFont"/>
    <w:uiPriority w:val="99"/>
    <w:qFormat/>
    <w:rPr>
      <w:rFonts w:ascii="Times New Roman" w:hAnsi="Times New Roman" w:cs="Times New Roman"/>
      <w:sz w:val="28"/>
      <w:szCs w:val="28"/>
    </w:rPr>
  </w:style>
  <w:style w:type="paragraph" w:styleId="Style21">
    <w:name w:val="Заголовок"/>
    <w:basedOn w:val="Normal"/>
    <w:next w:val="Style22"/>
    <w:qFormat/>
    <w:pPr>
      <w:keepNext w:val="true"/>
      <w:spacing w:before="240" w:after="120"/>
    </w:pPr>
    <w:rPr>
      <w:rFonts w:ascii="PT Astra Serif" w:hAnsi="PT Astra Serif" w:eastAsia="Tahoma" w:cs="Noto Sans Devanagari"/>
      <w:sz w:val="28"/>
      <w:szCs w:val="28"/>
    </w:rPr>
  </w:style>
  <w:style w:type="paragraph" w:styleId="Style22">
    <w:name w:val="Body Text"/>
    <w:basedOn w:val="Normal"/>
    <w:link w:val="Style13"/>
    <w:pPr>
      <w:widowControl w:val="false"/>
      <w:shd w:val="clear" w:color="auto" w:fill="FFFFFF"/>
      <w:spacing w:lineRule="exact" w:line="298" w:before="0" w:after="780"/>
      <w:ind w:hanging="1600"/>
    </w:pPr>
    <w:rPr>
      <w:rFonts w:cs="Calibri"/>
    </w:rPr>
  </w:style>
  <w:style w:type="paragraph" w:styleId="Style23">
    <w:name w:val="List"/>
    <w:basedOn w:val="Style22"/>
    <w:pPr/>
    <w:rPr>
      <w:rFonts w:ascii="PT Astra Serif" w:hAnsi="PT Astra Serif" w:cs="Noto Sans Devanagari"/>
    </w:rPr>
  </w:style>
  <w:style w:type="paragraph" w:styleId="Style24">
    <w:name w:val="Caption"/>
    <w:basedOn w:val="Normal"/>
    <w:qFormat/>
    <w:pPr>
      <w:suppressLineNumbers/>
      <w:spacing w:before="120" w:after="120"/>
    </w:pPr>
    <w:rPr>
      <w:rFonts w:ascii="PT Astra Serif" w:hAnsi="PT Astra Serif" w:cs="Noto Sans Devanagari"/>
      <w:i/>
      <w:iCs/>
      <w:sz w:val="24"/>
      <w:szCs w:val="24"/>
    </w:rPr>
  </w:style>
  <w:style w:type="paragraph" w:styleId="Style25">
    <w:name w:val="Указатель"/>
    <w:basedOn w:val="Normal"/>
    <w:qFormat/>
    <w:pPr>
      <w:suppressLineNumbers/>
    </w:pPr>
    <w:rPr>
      <w:rFonts w:ascii="PT Astra Serif" w:hAnsi="PT Astra Serif" w:cs="Noto Sans Devanagari"/>
    </w:rPr>
  </w:style>
  <w:style w:type="paragraph" w:styleId="NoSpacing">
    <w:name w:val="No Spacing"/>
    <w:uiPriority w:val="1"/>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Style26">
    <w:name w:val="Title"/>
    <w:basedOn w:val="Normal"/>
    <w:next w:val="Normal"/>
    <w:link w:val="Style5"/>
    <w:uiPriority w:val="10"/>
    <w:qFormat/>
    <w:pPr>
      <w:spacing w:before="300" w:after="200"/>
      <w:contextualSpacing/>
    </w:pPr>
    <w:rPr>
      <w:sz w:val="48"/>
      <w:szCs w:val="48"/>
    </w:rPr>
  </w:style>
  <w:style w:type="paragraph" w:styleId="Style27">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2"/>
    <w:uiPriority w:val="29"/>
    <w:qFormat/>
    <w:pPr>
      <w:ind w:left="720" w:right="720" w:firstLine="709"/>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firstLine="709"/>
    </w:pPr>
    <w:rPr>
      <w:i/>
    </w:rPr>
  </w:style>
  <w:style w:type="paragraph" w:styleId="Caption">
    <w:name w:val="caption"/>
    <w:basedOn w:val="Normal"/>
    <w:next w:val="Normal"/>
    <w:uiPriority w:val="35"/>
    <w:semiHidden/>
    <w:unhideWhenUsed/>
    <w:qFormat/>
    <w:pPr>
      <w:spacing w:lineRule="auto" w:line="276"/>
    </w:pPr>
    <w:rPr>
      <w:b/>
      <w:bCs/>
      <w:color w:val="5B9BD5" w:themeColor="accent1"/>
      <w:sz w:val="18"/>
      <w:szCs w:val="18"/>
    </w:rPr>
  </w:style>
  <w:style w:type="paragraph" w:styleId="Style28">
    <w:name w:val="Endnote Text"/>
    <w:basedOn w:val="Normal"/>
    <w:link w:val="Style8"/>
    <w:uiPriority w:val="99"/>
    <w:semiHidden/>
    <w:unhideWhenUsed/>
    <w:pPr/>
    <w:rPr>
      <w:sz w:val="20"/>
    </w:rPr>
  </w:style>
  <w:style w:type="paragraph" w:styleId="13">
    <w:name w:val="TOC 1"/>
    <w:basedOn w:val="Normal"/>
    <w:next w:val="Normal"/>
    <w:uiPriority w:val="39"/>
    <w:unhideWhenUsed/>
    <w:pPr>
      <w:spacing w:before="0" w:after="57"/>
      <w:ind w:hanging="0"/>
    </w:pPr>
    <w:rPr/>
  </w:style>
  <w:style w:type="paragraph" w:styleId="23">
    <w:name w:val="TOC 2"/>
    <w:basedOn w:val="Normal"/>
    <w:next w:val="Normal"/>
    <w:uiPriority w:val="39"/>
    <w:unhideWhenUsed/>
    <w:pPr>
      <w:spacing w:before="0" w:after="57"/>
      <w:ind w:left="283" w:hanging="0"/>
    </w:pPr>
    <w:rPr/>
  </w:style>
  <w:style w:type="paragraph" w:styleId="32">
    <w:name w:val="TOC 3"/>
    <w:basedOn w:val="Normal"/>
    <w:next w:val="Normal"/>
    <w:uiPriority w:val="39"/>
    <w:unhideWhenUsed/>
    <w:pPr>
      <w:spacing w:before="0" w:after="57"/>
      <w:ind w:left="567" w:hanging="0"/>
    </w:pPr>
    <w:rPr/>
  </w:style>
  <w:style w:type="paragraph" w:styleId="42">
    <w:name w:val="TOC 4"/>
    <w:basedOn w:val="Normal"/>
    <w:next w:val="Normal"/>
    <w:uiPriority w:val="39"/>
    <w:unhideWhenUsed/>
    <w:pPr>
      <w:spacing w:before="0" w:after="57"/>
      <w:ind w:left="850" w:hanging="0"/>
    </w:pPr>
    <w:rPr/>
  </w:style>
  <w:style w:type="paragraph" w:styleId="52">
    <w:name w:val="TOC 5"/>
    <w:basedOn w:val="Normal"/>
    <w:next w:val="Normal"/>
    <w:uiPriority w:val="39"/>
    <w:unhideWhenUsed/>
    <w:pPr>
      <w:spacing w:before="0" w:after="57"/>
      <w:ind w:left="1134" w:hanging="0"/>
    </w:pPr>
    <w:rPr/>
  </w:style>
  <w:style w:type="paragraph" w:styleId="62">
    <w:name w:val="TOC 6"/>
    <w:basedOn w:val="Normal"/>
    <w:next w:val="Normal"/>
    <w:uiPriority w:val="39"/>
    <w:unhideWhenUsed/>
    <w:pPr>
      <w:spacing w:before="0" w:after="57"/>
      <w:ind w:left="1417" w:hanging="0"/>
    </w:pPr>
    <w:rPr/>
  </w:style>
  <w:style w:type="paragraph" w:styleId="72">
    <w:name w:val="TOC 7"/>
    <w:basedOn w:val="Normal"/>
    <w:next w:val="Normal"/>
    <w:uiPriority w:val="39"/>
    <w:unhideWhenUsed/>
    <w:pPr>
      <w:spacing w:before="0" w:after="57"/>
      <w:ind w:left="1701" w:hanging="0"/>
    </w:pPr>
    <w:rPr/>
  </w:style>
  <w:style w:type="paragraph" w:styleId="82">
    <w:name w:val="TOC 8"/>
    <w:basedOn w:val="Normal"/>
    <w:next w:val="Normal"/>
    <w:uiPriority w:val="39"/>
    <w:unhideWhenUsed/>
    <w:pPr>
      <w:spacing w:before="0" w:after="57"/>
      <w:ind w:left="1984" w:hanging="0"/>
    </w:pPr>
    <w:rPr/>
  </w:style>
  <w:style w:type="paragraph" w:styleId="92">
    <w:name w:val="TOC 9"/>
    <w:basedOn w:val="Normal"/>
    <w:next w:val="Normal"/>
    <w:uiPriority w:val="39"/>
    <w:unhideWhenUsed/>
    <w:pPr>
      <w:spacing w:before="0" w:after="57"/>
      <w:ind w:left="2268" w:hanging="0"/>
    </w:pPr>
    <w:rPr/>
  </w:style>
  <w:style w:type="paragraph" w:styleId="Style29">
    <w:name w:val="Index Heading"/>
    <w:basedOn w:val="Style21"/>
    <w:pPr/>
    <w:rPr/>
  </w:style>
  <w:style w:type="paragraph" w:styleId="Style30">
    <w:name w:val="TOC Heading"/>
    <w:uiPriority w:val="39"/>
    <w:unhideWhenUsed/>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Style31">
    <w:name w:val="Колонтитул"/>
    <w:basedOn w:val="Normal"/>
    <w:qFormat/>
    <w:pPr/>
    <w:rPr/>
  </w:style>
  <w:style w:type="paragraph" w:styleId="Style32">
    <w:name w:val="Header"/>
    <w:basedOn w:val="Normal"/>
    <w:link w:val="Style11"/>
    <w:uiPriority w:val="99"/>
    <w:unhideWhenUsed/>
    <w:pPr>
      <w:tabs>
        <w:tab w:val="clear" w:pos="709"/>
        <w:tab w:val="center" w:pos="4677" w:leader="none"/>
        <w:tab w:val="right" w:pos="9355" w:leader="none"/>
      </w:tabs>
    </w:pPr>
    <w:rPr/>
  </w:style>
  <w:style w:type="paragraph" w:styleId="Style33">
    <w:name w:val="Footer"/>
    <w:basedOn w:val="Normal"/>
    <w:link w:val="Style12"/>
    <w:uiPriority w:val="99"/>
    <w:unhideWhenUsed/>
    <w:pPr>
      <w:tabs>
        <w:tab w:val="clear" w:pos="709"/>
        <w:tab w:val="center" w:pos="4677" w:leader="none"/>
        <w:tab w:val="right" w:pos="9355" w:leader="none"/>
      </w:tabs>
    </w:pPr>
    <w:rPr/>
  </w:style>
  <w:style w:type="paragraph" w:styleId="ConsPlusNonformat" w:customStyle="1">
    <w:name w:val="ConsPlusNonformat"/>
    <w:uiPriority w:val="99"/>
    <w:qFormat/>
    <w:pPr>
      <w:widowControl/>
      <w:suppressAutoHyphens w:val="true"/>
      <w:bidi w:val="0"/>
      <w:spacing w:before="0" w:after="0"/>
      <w:ind w:firstLine="709"/>
      <w:jc w:val="both"/>
    </w:pPr>
    <w:rPr>
      <w:rFonts w:ascii="Courier New" w:hAnsi="Courier New" w:eastAsia="Calibri" w:cs="Courier New"/>
      <w:color w:val="auto"/>
      <w:kern w:val="0"/>
      <w:sz w:val="20"/>
      <w:szCs w:val="20"/>
      <w:lang w:val="ru-RU" w:eastAsia="en-US" w:bidi="ar-SA"/>
    </w:rPr>
  </w:style>
  <w:style w:type="paragraph" w:styleId="ListParagraph">
    <w:name w:val="List Paragraph"/>
    <w:basedOn w:val="Normal"/>
    <w:uiPriority w:val="34"/>
    <w:qFormat/>
    <w:pPr>
      <w:spacing w:before="0" w:after="0"/>
      <w:ind w:left="720" w:firstLine="709"/>
      <w:contextualSpacing/>
    </w:pPr>
    <w:rPr/>
  </w:style>
  <w:style w:type="paragraph" w:styleId="Default" w:customStyle="1">
    <w:name w:val="Default"/>
    <w:qFormat/>
    <w:pPr>
      <w:widowControl/>
      <w:suppressAutoHyphens w:val="true"/>
      <w:bidi w:val="0"/>
      <w:spacing w:before="0" w:after="0"/>
      <w:ind w:firstLine="709"/>
      <w:jc w:val="both"/>
    </w:pPr>
    <w:rPr>
      <w:rFonts w:ascii="Times New Roman" w:hAnsi="Times New Roman" w:eastAsia="Calibri" w:cs="Times New Roman"/>
      <w:color w:val="000000"/>
      <w:kern w:val="0"/>
      <w:sz w:val="24"/>
      <w:szCs w:val="24"/>
      <w:lang w:val="ru-RU" w:eastAsia="ru-RU" w:bidi="ar-SA"/>
    </w:rPr>
  </w:style>
  <w:style w:type="paragraph" w:styleId="NormalWeb">
    <w:name w:val="Normal (Web)"/>
    <w:basedOn w:val="Normal"/>
    <w:uiPriority w:val="99"/>
    <w:unhideWhenUsed/>
    <w:qFormat/>
    <w:pPr>
      <w:spacing w:before="240" w:after="240"/>
    </w:pPr>
    <w:rPr>
      <w:rFonts w:ascii="Times New Roman" w:hAnsi="Times New Roman" w:eastAsia="Times New Roman"/>
      <w:sz w:val="24"/>
      <w:szCs w:val="24"/>
      <w:lang w:eastAsia="ru-RU"/>
    </w:rPr>
  </w:style>
  <w:style w:type="paragraph" w:styleId="Style34">
    <w:name w:val="Footnote Text"/>
    <w:basedOn w:val="Normal"/>
    <w:link w:val="Style14"/>
    <w:uiPriority w:val="99"/>
    <w:pPr/>
    <w:rPr>
      <w:rFonts w:ascii="Times New Roman" w:hAnsi="Times New Roman" w:eastAsia="Times New Roman"/>
      <w:sz w:val="20"/>
      <w:szCs w:val="20"/>
      <w:lang w:eastAsia="ru-RU"/>
    </w:rPr>
  </w:style>
  <w:style w:type="paragraph" w:styleId="14" w:customStyle="1">
    <w:name w:val="Основной текст1"/>
    <w:basedOn w:val="Normal"/>
    <w:link w:val="Style17"/>
    <w:qFormat/>
    <w:pPr>
      <w:shd w:val="clear" w:color="auto" w:fill="FFFFFF"/>
      <w:spacing w:lineRule="atLeast" w:line="0" w:before="0" w:after="420"/>
      <w:ind w:hanging="420"/>
      <w:jc w:val="center"/>
    </w:pPr>
    <w:rPr>
      <w:sz w:val="28"/>
      <w:szCs w:val="28"/>
    </w:rPr>
  </w:style>
  <w:style w:type="paragraph" w:styleId="BalloonText">
    <w:name w:val="Balloon Text"/>
    <w:basedOn w:val="Normal"/>
    <w:link w:val="Style18"/>
    <w:uiPriority w:val="99"/>
    <w:semiHidden/>
    <w:unhideWhenUsed/>
    <w:qFormat/>
    <w:pPr/>
    <w:rPr>
      <w:rFonts w:ascii="Tahoma" w:hAnsi="Tahoma" w:cs="Tahoma"/>
      <w:sz w:val="16"/>
      <w:szCs w:val="16"/>
    </w:rPr>
  </w:style>
  <w:style w:type="paragraph" w:styleId="Annotationtext">
    <w:name w:val="annotation text"/>
    <w:basedOn w:val="Normal"/>
    <w:link w:val="Style19"/>
    <w:uiPriority w:val="99"/>
    <w:unhideWhenUsed/>
    <w:qFormat/>
    <w:pPr/>
    <w:rPr>
      <w:sz w:val="20"/>
      <w:szCs w:val="20"/>
    </w:rPr>
  </w:style>
  <w:style w:type="paragraph" w:styleId="Annotationsubject">
    <w:name w:val="annotation subject"/>
    <w:basedOn w:val="Annotationtext"/>
    <w:next w:val="Annotationtext"/>
    <w:link w:val="Style20"/>
    <w:uiPriority w:val="99"/>
    <w:semiHidden/>
    <w:unhideWhenUsed/>
    <w:qFormat/>
    <w:pPr/>
    <w:rPr>
      <w:b/>
      <w:bCs/>
    </w:rPr>
  </w:style>
  <w:style w:type="paragraph" w:styleId="ConsPlusNormal" w:customStyle="1">
    <w:name w:val="ConsPlusNormal"/>
    <w:qFormat/>
    <w:pPr>
      <w:widowControl/>
      <w:suppressAutoHyphens w:val="true"/>
      <w:bidi w:val="0"/>
      <w:spacing w:before="0" w:after="0"/>
      <w:jc w:val="left"/>
    </w:pPr>
    <w:rPr>
      <w:rFonts w:ascii="Times New Roman" w:hAnsi="Times New Roman" w:eastAsia="Calibri" w:cs="Times New Roman"/>
      <w:color w:val="auto"/>
      <w:kern w:val="0"/>
      <w:sz w:val="28"/>
      <w:szCs w:val="28"/>
      <w:lang w:val="ru-RU" w:eastAsia="en-US" w:bidi="ar-SA"/>
    </w:rPr>
  </w:style>
  <w:style w:type="paragraph" w:styleId="Revision">
    <w:name w:val="Revision"/>
    <w:uiPriority w:val="99"/>
    <w:semiHidden/>
    <w:qFormat/>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blPr/>
      <w:tcPr>
        <w:tcBorders>
          <w:bottom w:val="single" w:color="9EC4E6"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28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blPr/>
      <w:tcPr>
        <w:tcBorders>
          <w:bottom w:val="single" w:color="FFDA6A"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color w:val="404040"/>
      </w:rPr>
      <w:tblPr/>
      <w:tcPr>
        <w:tcBorders>
          <w:bottom w:val="single" w:color="91ACDC"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color w:val="404040"/>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color w:val="FFFFFF"/>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color w:val="404040"/>
      </w:rPr>
      <w:tblPr/>
      <w:tcPr>
        <w:tcBorders>
          <w:top w:val="single" w:color="68A2D8"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EEBF6" w:fill="DEEBF6" w:themeFill="accent1" w:themeFillTint="32"/>
      </w:tcPr>
    </w:tblStylePr>
    <w:tblStylePr w:type="band1Horz">
      <w:rPr>
        <w:color w:val="404040"/>
        <w:sz w:val="22"/>
      </w:rPr>
      <w:tblPr/>
      <w:tcPr>
        <w:shd w:val="clear" w:color="DEEBF6"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color w:val="404040"/>
      </w:rPr>
      <w:tblPr/>
      <w:tcPr>
        <w:tcBorders>
          <w:top w:val="single" w:color="F4B184"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color w:val="404040"/>
      </w:rPr>
      <w:tblPr/>
      <w:tcPr>
        <w:tcBorders>
          <w:top w:val="single" w:color="A5A5A5"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color w:val="404040"/>
      </w:rPr>
      <w:tblPr/>
      <w:tcPr>
        <w:tcBorders>
          <w:top w:val="single" w:color="FFD865"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color w:val="404040"/>
      </w:rPr>
      <w:tblPr/>
      <w:tcPr>
        <w:tcBorders>
          <w:top w:val="single" w:color="4472C4"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5B9BD5" w:fill="5B9BD5" w:themeFill="accent1"/>
      </w:tcPr>
    </w:tblStylePr>
    <w:tblStylePr w:type="lastRow">
      <w:rPr>
        <w:b/>
        <w:color w:val="FFFFFF"/>
        <w:sz w:val="22"/>
      </w:rPr>
      <w:tblPr/>
      <w:tcPr>
        <w:tcBorders>
          <w:top w:val="single" w:color="FFFFFF" w:themeColor="light1" w:sz="4" w:space="0"/>
        </w:tcBorders>
        <w:shd w:val="clear" w:color="5B9BD5" w:fill="5B9BD5" w:themeFill="accent1"/>
      </w:tcPr>
    </w:tblStylePr>
    <w:tblStylePr w:type="firstCol">
      <w:rPr>
        <w:b/>
        <w:color w:val="FFFFFF"/>
        <w:sz w:val="22"/>
      </w:rPr>
      <w:tblPr/>
      <w:tcPr>
        <w:shd w:val="clear" w:color="5B9BD5" w:fill="5B9BD5" w:themeFill="accent1"/>
      </w:tcPr>
    </w:tblStylePr>
    <w:tblStylePr w:type="lastCol">
      <w:rPr>
        <w:b/>
        <w:color w:val="FFFFFF"/>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4472C4" w:fill="4472C4" w:themeFill="accent5"/>
      </w:tcPr>
    </w:tblStylePr>
    <w:tblStylePr w:type="lastRow">
      <w:rPr>
        <w:b/>
        <w:color w:val="FFFFFF"/>
        <w:sz w:val="22"/>
      </w:rPr>
      <w:tblPr/>
      <w:tcPr>
        <w:tcBorders>
          <w:top w:val="single" w:color="FFFFFF" w:themeColor="light1" w:sz="4" w:space="0"/>
        </w:tcBorders>
        <w:shd w:val="clear" w:color="4472C4" w:fill="4472C4" w:themeFill="accent5"/>
      </w:tcPr>
    </w:tblStylePr>
    <w:tblStylePr w:type="firstCol">
      <w:rPr>
        <w:b/>
        <w:color w:val="FFFFFF"/>
        <w:sz w:val="22"/>
      </w:rPr>
      <w:tblPr/>
      <w:tcPr>
        <w:shd w:val="clear" w:color="4472C4" w:fill="4472C4" w:themeFill="accent5"/>
      </w:tcPr>
    </w:tblStylePr>
    <w:tblStylePr w:type="lastCol">
      <w:rPr>
        <w:b/>
        <w:color w:val="FFFFFF"/>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auto" w:sz="0" w:space="0"/>
          <w:left w:val="none" w:color="auto" w:sz="0" w:space="0"/>
          <w:bottom w:val="single" w:color="ACCCEA" w:themeColor="accent1" w:sz="4" w:space="0"/>
          <w:right w:val="none" w:color="auto" w:sz="0"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CCCEA" w:themeColor="accent1" w:themeTint="80" w:themeShade="95"/>
        <w:sz w:val="22"/>
      </w:rPr>
      <w:tblPr/>
      <w:tcPr>
        <w:tcBorders>
          <w:top w:val="none" w:color="auto" w:sz="0" w:space="0"/>
          <w:left w:val="none" w:color="auto" w:sz="0" w:space="0"/>
          <w:bottom w:val="none" w:color="auto" w:sz="0"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auto" w:sz="0" w:space="0"/>
          <w:left w:val="single" w:color="ACCCEA" w:themeColor="accent1" w:sz="4" w:space="0"/>
          <w:bottom w:val="none" w:color="auto" w:sz="0" w:space="0"/>
          <w:right w:val="none" w:color="auto" w:sz="0"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auto" w:sz="0" w:space="0"/>
          <w:left w:val="none" w:color="auto" w:sz="0" w:space="0"/>
          <w:bottom w:val="single" w:color="95AFDD" w:themeColor="accent5" w:sz="4" w:space="0"/>
          <w:right w:val="none" w:color="auto" w:sz="0"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5" w:themeShade="95"/>
        <w:sz w:val="22"/>
      </w:rPr>
      <w:tblPr/>
      <w:tcPr>
        <w:tcBorders>
          <w:top w:val="none" w:color="auto" w:sz="0" w:space="0"/>
          <w:left w:val="none" w:color="auto" w:sz="0" w:space="0"/>
          <w:bottom w:val="none" w:color="auto" w:sz="0"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auto" w:sz="0" w:space="0"/>
          <w:left w:val="single" w:color="95AFDD" w:themeColor="accent5" w:sz="4" w:space="0"/>
          <w:bottom w:val="none" w:color="auto" w:sz="0" w:space="0"/>
          <w:right w:val="none" w:color="auto" w:sz="0"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5B9BD5" w:themeColor="accent1" w:sz="4" w:space="0"/>
          <w:right w:val="single" w:color="5B9BD5" w:themeColor="accent1" w:sz="4" w:space="0"/>
        </w:tcBorders>
      </w:tcPr>
    </w:tblStylePr>
    <w:tblStylePr w:type="band1Horz">
      <w:rPr>
        <w:color w:val="404040"/>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color w:val="FFFFFF"/>
        <w:sz w:val="22"/>
      </w:rPr>
      <w:tblPr/>
      <w:tcPr>
        <w:shd w:val="clear" w:color="F4B184" w:fill="F4B184"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4B184" w:themeColor="accent2" w:sz="4" w:space="0"/>
          <w:right w:val="single" w:color="F4B184" w:themeColor="accent2" w:sz="4" w:space="0"/>
        </w:tcBorders>
      </w:tcPr>
    </w:tblStylePr>
    <w:tblStylePr w:type="band1Horz">
      <w:rPr>
        <w:color w:val="404040"/>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color w:val="FFFFFF"/>
        <w:sz w:val="22"/>
      </w:rPr>
      <w:tblPr/>
      <w:tcPr>
        <w:shd w:val="clear" w:color="C9C9C9"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9C9C9" w:themeColor="accent3" w:sz="4" w:space="0"/>
          <w:right w:val="single" w:color="C9C9C9" w:themeColor="accent3" w:sz="4" w:space="0"/>
        </w:tcBorders>
      </w:tcPr>
    </w:tblStylePr>
    <w:tblStylePr w:type="band1Horz">
      <w:rPr>
        <w:color w:val="404040"/>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color w:val="FFFFFF"/>
        <w:sz w:val="22"/>
      </w:rPr>
      <w:tblPr/>
      <w:tcPr>
        <w:shd w:val="clear" w:color="FFD865" w:fill="FFD865"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FD865" w:themeColor="accent4" w:sz="4" w:space="0"/>
          <w:right w:val="single" w:color="FFD865" w:themeColor="accent4" w:sz="4" w:space="0"/>
        </w:tcBorders>
      </w:tcPr>
    </w:tblStylePr>
    <w:tblStylePr w:type="band1Horz">
      <w:rPr>
        <w:color w:val="404040"/>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color w:val="FFFFFF"/>
        <w:sz w:val="22"/>
      </w:rPr>
      <w:tblPr/>
      <w:tcPr>
        <w:shd w:val="clear" w:color="8DA9DB" w:fill="8DA9DB"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8DA9DB" w:themeColor="accent5" w:sz="4" w:space="0"/>
          <w:right w:val="single" w:color="8DA9DB" w:themeColor="accent5" w:sz="4" w:space="0"/>
        </w:tcBorders>
      </w:tcPr>
    </w:tblStylePr>
    <w:tblStylePr w:type="band1Horz">
      <w:rPr>
        <w:color w:val="404040"/>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color w:val="FFFFFF"/>
        <w:sz w:val="22"/>
      </w:rPr>
      <w:tblPr/>
      <w:tcPr>
        <w:shd w:val="clear" w:color="A9D08E"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A9D08E" w:themeColor="accent6" w:sz="4" w:space="0"/>
          <w:right w:val="single" w:color="A9D08E" w:themeColor="accent6" w:sz="4" w:space="0"/>
        </w:tcBorders>
      </w:tcPr>
    </w:tblStylePr>
    <w:tblStylePr w:type="band1Horz">
      <w:rPr>
        <w:color w:val="404040"/>
        <w:sz w:val="22"/>
      </w:rPr>
      <w:tblPr/>
      <w:tcPr>
        <w:tcBorders>
          <w:top w:val="single" w:color="A9D08E" w:themeColor="accent6" w:sz="4" w:space="0"/>
          <w:bottom w:val="single" w:color="A9D08E"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color w:val="FFFFFF"/>
        <w:sz w:val="22"/>
      </w:rPr>
      <w:tblPr/>
      <w:tcPr>
        <w:shd w:val="clear" w:color="ED7D31"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color w:val="FFFFFF"/>
        <w:sz w:val="22"/>
      </w:rPr>
      <w:tblPr/>
      <w:tcPr>
        <w:shd w:val="clear" w:color="A5A5A5"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color w:val="FFFFFF"/>
        <w:sz w:val="22"/>
      </w:rPr>
      <w:tblPr/>
      <w:tcPr>
        <w:shd w:val="clear" w:color="FFC000"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color w:val="FFFFFF"/>
        <w:sz w:val="22"/>
      </w:rPr>
      <w:tblPr/>
      <w:tcPr>
        <w:shd w:val="clear" w:color="4472C4" w:fill="4472C4"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color w:val="FFFFFF"/>
        <w:sz w:val="22"/>
      </w:rPr>
      <w:tblPr/>
      <w:tcPr>
        <w:shd w:val="clear" w:color="70AD47"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auto" w:sz="0" w:space="0"/>
          <w:left w:val="none" w:color="auto" w:sz="0" w:space="0"/>
          <w:bottom w:val="single" w:color="8DA9DB" w:themeColor="accent5" w:sz="4" w:space="0"/>
          <w:right w:val="none" w:color="auto" w:sz="0"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DA9DB" w:themeColor="accent5" w:themeTint="9a" w:themeShade="95"/>
        <w:sz w:val="22"/>
      </w:rPr>
      <w:tblPr/>
      <w:tcPr>
        <w:tcBorders>
          <w:top w:val="none" w:color="auto" w:sz="0" w:space="0"/>
          <w:left w:val="none" w:color="auto" w:sz="0" w:space="0"/>
          <w:bottom w:val="none" w:color="auto" w:sz="0"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auto" w:sz="0" w:space="0"/>
          <w:left w:val="single" w:color="8DA9DB" w:themeColor="accent5" w:sz="4" w:space="0"/>
          <w:bottom w:val="none" w:color="auto" w:sz="0" w:space="0"/>
          <w:right w:val="none" w:color="auto" w:sz="0"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rPr>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Pr>
      <w:color w:val="404040"/>
    </w:rPr>
    <w:tblPr>
      <w:tblStyleRowBandSize w:val="1"/>
      <w:tblStyleColBandSize w:val="1"/>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color w:val="404040"/>
        <w:sz w:val="22"/>
      </w:rPr>
      <w:tblPr/>
      <w:tcPr>
        <w:tcBorders>
          <w:bottom w:val="single" w:color="5B9BD5" w:themeColor="accent1" w:sz="12" w:space="0"/>
        </w:tcBorders>
      </w:tcPr>
    </w:tblStylePr>
    <w:tblStylePr w:type="lastRow">
      <w:rPr>
        <w:color w:val="404040"/>
        <w:sz w:val="22"/>
      </w:rPr>
      <w:tblPr/>
      <w:tcPr>
        <w:tcBorders>
          <w:top w:val="single" w:color="5B9BD5" w:themeColor="accent1" w:sz="12" w:space="0"/>
        </w:tcBorders>
      </w:tcPr>
    </w:tblStylePr>
    <w:tblStylePr w:type="firstCol">
      <w:rPr>
        <w:color w:val="404040"/>
        <w:sz w:val="22"/>
      </w:rPr>
      <w:tblPr/>
    </w:tblStylePr>
    <w:tblStylePr w:type="lastCol">
      <w:rPr>
        <w:color w:val="404040"/>
        <w:sz w:val="22"/>
      </w:rPr>
      <w:tblPr/>
      <w:tcPr>
        <w:tcBorders>
          <w:left w:val="single" w:color="5B9BD5" w:themeColor="accent1" w:sz="12" w:space="0"/>
        </w:tcBorders>
      </w:tc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color w:val="404040"/>
        <w:sz w:val="22"/>
      </w:rPr>
      <w:tblPr/>
      <w:tcPr>
        <w:tcBorders>
          <w:bottom w:val="single" w:color="F4B184" w:themeColor="accent2" w:sz="12" w:space="0"/>
        </w:tcBorders>
      </w:tcPr>
    </w:tblStylePr>
    <w:tblStylePr w:type="lastRow">
      <w:rPr>
        <w:color w:val="404040"/>
        <w:sz w:val="22"/>
      </w:rPr>
      <w:tblPr/>
      <w:tcPr>
        <w:tcBorders>
          <w:top w:val="single" w:color="F4B184" w:themeColor="accent2" w:sz="12" w:space="0"/>
        </w:tcBorders>
      </w:tcPr>
    </w:tblStylePr>
    <w:tblStylePr w:type="firstCol">
      <w:rPr>
        <w:color w:val="404040"/>
        <w:sz w:val="22"/>
      </w:rPr>
      <w:tblPr/>
    </w:tblStylePr>
    <w:tblStylePr w:type="lastCol">
      <w:rPr>
        <w:color w:val="404040"/>
        <w:sz w:val="22"/>
      </w:rPr>
      <w:tblPr/>
      <w:tcPr>
        <w:tcBorders>
          <w:left w:val="single" w:color="F4B184" w:themeColor="accent2" w:sz="12" w:space="0"/>
        </w:tcBorders>
      </w:tc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color w:val="404040"/>
        <w:sz w:val="22"/>
      </w:rPr>
      <w:tblPr/>
      <w:tcPr>
        <w:tcBorders>
          <w:bottom w:val="single" w:color="C9C9C9" w:themeColor="accent3" w:sz="12" w:space="0"/>
        </w:tcBorders>
      </w:tcPr>
    </w:tblStylePr>
    <w:tblStylePr w:type="lastRow">
      <w:rPr>
        <w:color w:val="404040"/>
        <w:sz w:val="22"/>
      </w:rPr>
      <w:tblPr/>
      <w:tcPr>
        <w:tcBorders>
          <w:top w:val="single" w:color="C9C9C9" w:themeColor="accent3" w:sz="12" w:space="0"/>
        </w:tcBorders>
      </w:tcPr>
    </w:tblStylePr>
    <w:tblStylePr w:type="firstCol">
      <w:rPr>
        <w:color w:val="404040"/>
        <w:sz w:val="22"/>
      </w:rPr>
      <w:tblPr/>
    </w:tblStylePr>
    <w:tblStylePr w:type="lastCol">
      <w:rPr>
        <w:color w:val="404040"/>
        <w:sz w:val="22"/>
      </w:rPr>
      <w:tblPr/>
      <w:tcPr>
        <w:tcBorders>
          <w:left w:val="single" w:color="C9C9C9" w:themeColor="accent3" w:sz="12" w:space="0"/>
        </w:tcBorders>
      </w:tc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color w:val="404040"/>
        <w:sz w:val="22"/>
      </w:rPr>
      <w:tblPr/>
      <w:tcPr>
        <w:tcBorders>
          <w:bottom w:val="single" w:color="FFD865" w:themeColor="accent4" w:sz="12" w:space="0"/>
        </w:tcBorders>
      </w:tcPr>
    </w:tblStylePr>
    <w:tblStylePr w:type="lastRow">
      <w:rPr>
        <w:color w:val="404040"/>
        <w:sz w:val="22"/>
      </w:rPr>
      <w:tblPr/>
      <w:tcPr>
        <w:tcBorders>
          <w:top w:val="single" w:color="FFD865" w:themeColor="accent4" w:sz="12" w:space="0"/>
        </w:tcBorders>
      </w:tcPr>
    </w:tblStylePr>
    <w:tblStylePr w:type="firstCol">
      <w:rPr>
        <w:color w:val="404040"/>
        <w:sz w:val="22"/>
      </w:rPr>
      <w:tblPr/>
    </w:tblStylePr>
    <w:tblStylePr w:type="lastCol">
      <w:rPr>
        <w:color w:val="404040"/>
        <w:sz w:val="22"/>
      </w:rPr>
      <w:tblPr/>
      <w:tcPr>
        <w:tcBorders>
          <w:left w:val="single" w:color="FFD865" w:themeColor="accent4" w:sz="12" w:space="0"/>
        </w:tcBorders>
      </w:tc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color w:val="404040"/>
        <w:sz w:val="22"/>
      </w:rPr>
      <w:tblPr/>
      <w:tcPr>
        <w:tcBorders>
          <w:bottom w:val="single" w:color="8DA9DB" w:themeColor="accent5" w:sz="12" w:space="0"/>
        </w:tcBorders>
      </w:tcPr>
    </w:tblStylePr>
    <w:tblStylePr w:type="lastRow">
      <w:rPr>
        <w:color w:val="404040"/>
        <w:sz w:val="22"/>
      </w:rPr>
      <w:tblPr/>
      <w:tcPr>
        <w:tcBorders>
          <w:top w:val="single" w:color="8DA9DB" w:themeColor="accent5" w:sz="12" w:space="0"/>
        </w:tcBorders>
      </w:tcPr>
    </w:tblStylePr>
    <w:tblStylePr w:type="firstCol">
      <w:rPr>
        <w:color w:val="404040"/>
        <w:sz w:val="22"/>
      </w:rPr>
      <w:tblPr/>
    </w:tblStylePr>
    <w:tblStylePr w:type="lastCol">
      <w:rPr>
        <w:color w:val="404040"/>
        <w:sz w:val="22"/>
      </w:rPr>
      <w:tblPr/>
      <w:tcPr>
        <w:tcBorders>
          <w:left w:val="single" w:color="8DA9DB" w:themeColor="accent5" w:sz="12" w:space="0"/>
        </w:tcBorders>
      </w:tc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color w:val="404040"/>
        <w:sz w:val="22"/>
      </w:rPr>
      <w:tblPr/>
      <w:tcPr>
        <w:tcBorders>
          <w:bottom w:val="single" w:color="A9D08E" w:themeColor="accent6" w:sz="12" w:space="0"/>
        </w:tcBorders>
      </w:tcPr>
    </w:tblStylePr>
    <w:tblStylePr w:type="lastRow">
      <w:rPr>
        <w:color w:val="404040"/>
        <w:sz w:val="22"/>
      </w:rPr>
      <w:tblPr/>
      <w:tcPr>
        <w:tcBorders>
          <w:top w:val="single" w:color="A9D08E" w:themeColor="accent6" w:sz="12" w:space="0"/>
        </w:tcBorders>
      </w:tcPr>
    </w:tblStylePr>
    <w:tblStylePr w:type="firstCol">
      <w:rPr>
        <w:color w:val="404040"/>
        <w:sz w:val="22"/>
      </w:rPr>
      <w:tblPr/>
    </w:tblStylePr>
    <w:tblStylePr w:type="lastCol">
      <w:rPr>
        <w:color w:val="404040"/>
        <w:sz w:val="22"/>
      </w:rPr>
      <w:tblPr/>
      <w:tcPr>
        <w:tcBorders>
          <w:left w:val="single" w:color="A9D08E" w:themeColor="accent6" w:sz="12" w:space="0"/>
        </w:tcBorders>
      </w:tc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af4">
    <w:name w:val="Table Grid"/>
    <w:basedOn w:val="a1"/>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7E0B1C8ADAC653FBEA55D1E9049ED91A63B5BC1BDB036D12C5B445229pEa3J" TargetMode="External"/><Relationship Id="rId3" Type="http://schemas.openxmlformats.org/officeDocument/2006/relationships/hyperlink" Target="https://mintrud.gov.ru/ministry/programms/anticorruption/9/instruktivno-metodicheskie-materialy-po-fz" TargetMode="External"/><Relationship Id="rId4" Type="http://schemas.openxmlformats.org/officeDocument/2006/relationships/hyperlink" Target="" TargetMode="External"/><Relationship Id="rId5" Type="http://schemas.openxmlformats.org/officeDocument/2006/relationships/hyperlink" Target="consultantplus://offline/ref=C9E7374AA1332C6CF9FF0059DC9BC42D7E0C4094E90E8D4E87A0DE0B00JBsBL" TargetMode="External"/><Relationship Id="rId6" Type="http://schemas.openxmlformats.org/officeDocument/2006/relationships/hyperlink" Target="consultantplus://offline/ref=176F7DE9F43BBC5D4BD135AAE1CAD04D0FAF9650A130B33DA87DA13E97FAF95DCF18F97FDC1FE2FAH7g2M" TargetMode="External"/><Relationship Id="rId7" Type="http://schemas.openxmlformats.org/officeDocument/2006/relationships/hyperlink" Target="consultantplus://offline/ref=7F2EEDDD06F168B694690D2DE649735BC9E53CBFC16FEC31087E4E96CAJ2nFL" TargetMode="External"/><Relationship Id="rId8" Type="http://schemas.openxmlformats.org/officeDocument/2006/relationships/hyperlink" Target="consultantplus://offline/ref=3743F552A0D416E80BEAF690826125BB530BB097B6A5A5C17137C1E72FF3E91DCF3284BA9D2A6279g3rBM" TargetMode="External"/><Relationship Id="rId9" Type="http://schemas.openxmlformats.org/officeDocument/2006/relationships/hyperlink" Target="consultantplus://offline/ref=7F2EEDDD06F168B694690D2DE649735BC9E53CBFC16FEC31087E4E96CAJ2nFL" TargetMode="External"/><Relationship Id="rId10" Type="http://schemas.openxmlformats.org/officeDocument/2006/relationships/hyperlink" Target="consultantplus://offline/ref=33E7B6DD529722622844D6F9EBC8DBA03B3FAEDA9118A1613233FFF35FCD6ECFCAED66496D73EC2Di9vDO" TargetMode="External"/><Relationship Id="rId11" Type="http://schemas.openxmlformats.org/officeDocument/2006/relationships/hyperlink" Target="https://mintrud.gov.ru/ministry/programms/anticorruption/9/23" TargetMode="External"/><Relationship Id="rId12" Type="http://schemas.openxmlformats.org/officeDocument/2006/relationships/hyperlink" Target="https://mintrud.gov.ru/ministry/programms/anticorruption/9/23" TargetMode="External"/><Relationship Id="rId13" Type="http://schemas.openxmlformats.org/officeDocument/2006/relationships/hyperlink" Target="https://mintrud.gov.ru/ministry/programms/anticorruption/9/23" TargetMode="External"/><Relationship Id="rId14" Type="http://schemas.openxmlformats.org/officeDocument/2006/relationships/hyperlink" Target="https://mintrud.gov.ru/ministry/programms/anticorruption/9/24" TargetMode="External"/><Relationship Id="rId15" Type="http://schemas.openxmlformats.org/officeDocument/2006/relationships/hyperlink" Target="http://www.kremlin.ru/structure/additional/12" TargetMode="External"/><Relationship Id="rId16" Type="http://schemas.openxmlformats.org/officeDocument/2006/relationships/hyperlink" Target="https://gossluzhba.gov.ru/anticorruption/spravki_bk" TargetMode="External"/><Relationship Id="rId17" Type="http://schemas.openxmlformats.org/officeDocument/2006/relationships/hyperlink" Target="https://www.cbr.ru/currency_base/daily/" TargetMode="External"/><Relationship Id="rId18" Type="http://schemas.openxmlformats.org/officeDocument/2006/relationships/hyperlink" Target="https://mintrud.gov.ru/docs/1872" TargetMode="External"/><Relationship Id="rId19" Type="http://schemas.openxmlformats.org/officeDocument/2006/relationships/hyperlink" Target="https://lk.rosreestr.ru/eservices/real-estate-objects-online" TargetMode="External"/><Relationship Id="rId20" Type="http://schemas.openxmlformats.org/officeDocument/2006/relationships/hyperlink" Target="https://www.gibdd.ru/r/77/contacts/div1145039/" TargetMode="External"/><Relationship Id="rId21" Type="http://schemas.openxmlformats.org/officeDocument/2006/relationships/hyperlink" Target="https://www.gibdd.ru/r/66/contacts/div1165058/" TargetMode="External"/><Relationship Id="rId22" Type="http://schemas.openxmlformats.org/officeDocument/2006/relationships/hyperlink" Target="https://www.gibdd.ru/r/66/contacts/div1165043/" TargetMode="External"/><Relationship Id="rId23" Type="http://schemas.openxmlformats.org/officeDocument/2006/relationships/hyperlink" Target="https://cbr.ru/vfs/registers/infr/list_OIS.xlsx" TargetMode="External"/><Relationship Id="rId24" Type="http://schemas.openxmlformats.org/officeDocument/2006/relationships/hyperlink" Target="https://cbr.ru/vfs/registers/infr/list_invest_platform_op.xlsx" TargetMode="External"/><Relationship Id="rId25" Type="http://schemas.openxmlformats.org/officeDocument/2006/relationships/hyperlink" Target="https://www.cbr.ru/hd_base/metall/metall_base_new/" TargetMode="External"/><Relationship Id="rId26" Type="http://schemas.openxmlformats.org/officeDocument/2006/relationships/hyperlink" Target="https://www.nalog.ru/rn77/related_activities/accounting/bank_account/" TargetMode="External"/><Relationship Id="rId27" Type="http://schemas.openxmlformats.org/officeDocument/2006/relationships/hyperlink" Target="https://www.cbr.ru/banking_sector/likvidbase/" TargetMode="External"/><Relationship Id="rId28" Type="http://schemas.openxmlformats.org/officeDocument/2006/relationships/hyperlink" Target="https://mintrud.gov.ru/ministry/programms/anticorruption/9/21" TargetMode="External"/><Relationship Id="rId29" Type="http://schemas.openxmlformats.org/officeDocument/2006/relationships/hyperlink" Target="https://www.cbr.ru/currency_base/daily/" TargetMode="External"/><Relationship Id="rId30" Type="http://schemas.openxmlformats.org/officeDocument/2006/relationships/header" Target="header1.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Relationship Id="rId3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A0DC6-00AE-4CE3-9D02-40E3F516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Application>LibreOffice/7.5.6.2$Linux_X86_64 LibreOffice_project/50$Build-2</Application>
  <AppVersion>15.0000</AppVersion>
  <Pages>68</Pages>
  <Words>23551</Words>
  <Characters>165976</Characters>
  <CharactersWithSpaces>188675</CharactersWithSpaces>
  <Paragraphs>743</Paragraphs>
  <Company>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2024-02-12T07:45:00Z</dcterms:created>
  <dc:creator>KovalkovaEA</dc:creator>
  <dc:description/>
  <dc:language>ru-RU</dc:language>
  <cp:lastModifiedBy/>
  <cp:lastPrinted>2024-01-31T08:32:00Z</cp:lastPrinted>
  <dcterms:modified xsi:type="dcterms:W3CDTF">2024-02-13T11:45:12Z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