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12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ИЗВЕЩЕНИЕ</w:t>
      </w:r>
    </w:p>
    <w:p>
      <w:pPr>
        <w:pStyle w:val="Normal"/>
        <w:spacing w:lineRule="auto" w:line="312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о проведении аукциона в электронной форме на право заключения договора аренды земельного участка</w:t>
      </w:r>
    </w:p>
    <w:p>
      <w:pPr>
        <w:pStyle w:val="Normal"/>
        <w:spacing w:lineRule="auto" w:line="312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12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lang w:val="en-US"/>
        </w:rPr>
        <w:t>I</w:t>
      </w:r>
      <w:r>
        <w:rPr>
          <w:rFonts w:cs="Times New Roman" w:ascii="Times New Roman" w:hAnsi="Times New Roman"/>
          <w:b/>
        </w:rPr>
        <w:t>. Общая информация</w:t>
      </w:r>
    </w:p>
    <w:p>
      <w:pPr>
        <w:pStyle w:val="Normal"/>
        <w:spacing w:lineRule="auto" w:line="312"/>
        <w:ind w:firstLine="708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1. Организатор электронного аукциона:</w:t>
      </w:r>
      <w:r>
        <w:rPr>
          <w:rFonts w:cs="Times New Roman" w:ascii="Times New Roman" w:hAnsi="Times New Roman"/>
        </w:rPr>
        <w:t xml:space="preserve"> администрация Анучинского муниципального округа, в лице отдела имущественных и земельных отношений</w:t>
      </w:r>
      <w:r>
        <w:rPr>
          <w:rFonts w:cs="Times New Roman" w:ascii="Times New Roman" w:hAnsi="Times New Roman"/>
          <w:color w:val="000000"/>
          <w:highlight w:val="white"/>
        </w:rPr>
        <w:t xml:space="preserve"> управления </w:t>
      </w:r>
      <w:r>
        <w:rPr>
          <w:rFonts w:cs="Times New Roman" w:ascii="Times New Roman" w:hAnsi="Times New Roman"/>
          <w:color w:val="000000"/>
          <w:highlight w:val="white"/>
          <w:lang w:val="ru-RU"/>
        </w:rPr>
        <w:t xml:space="preserve">градостроительства, имущественных и земельных отношений </w:t>
      </w:r>
      <w:r>
        <w:rPr>
          <w:rFonts w:cs="Times New Roman" w:ascii="Times New Roman" w:hAnsi="Times New Roman"/>
          <w:color w:val="000000"/>
        </w:rPr>
        <w:t xml:space="preserve"> администрации Анучинского муниципального округа</w:t>
      </w:r>
      <w:r>
        <w:rPr>
          <w:rFonts w:cs="Times New Roman" w:ascii="Times New Roman" w:hAnsi="Times New Roman"/>
        </w:rPr>
        <w:t>.</w:t>
      </w:r>
    </w:p>
    <w:p>
      <w:pPr>
        <w:pStyle w:val="Normal"/>
        <w:spacing w:lineRule="auto" w:line="312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Юридический и почтовый адрес: 692300, Приморский край, Анучинский округ, с. Анучино, ул. Лазо,6, </w:t>
      </w:r>
      <w:r>
        <w:rPr>
          <w:rFonts w:cs="Times New Roman" w:ascii="Times New Roman" w:hAnsi="Times New Roman"/>
          <w:lang w:val="en-US"/>
        </w:rPr>
        <w:t>e</w:t>
      </w:r>
      <w:r>
        <w:rPr>
          <w:rFonts w:cs="Times New Roman" w:ascii="Times New Roman" w:hAnsi="Times New Roman"/>
        </w:rPr>
        <w:t>-</w:t>
      </w:r>
      <w:r>
        <w:rPr>
          <w:rFonts w:cs="Times New Roman" w:ascii="Times New Roman" w:hAnsi="Times New Roman"/>
          <w:lang w:val="en-US"/>
        </w:rPr>
        <w:t>mail</w:t>
      </w:r>
      <w:r>
        <w:rPr>
          <w:rFonts w:cs="Times New Roman" w:ascii="Times New Roman" w:hAnsi="Times New Roman"/>
        </w:rPr>
        <w:t xml:space="preserve">: </w:t>
      </w:r>
      <w:r>
        <w:rPr/>
        <w:t>amo.izo@mail.ru</w:t>
      </w:r>
      <w:r>
        <w:rPr>
          <w:rFonts w:cs="Times New Roman" w:ascii="Times New Roman" w:hAnsi="Times New Roman"/>
        </w:rPr>
        <w:t xml:space="preserve">, официальный сайт: </w:t>
      </w:r>
      <w:hyperlink r:id="rId2">
        <w:r>
          <w:rPr>
            <w:rStyle w:val="Hyperlink"/>
            <w:rFonts w:cs="Times New Roman" w:ascii="Times New Roman" w:hAnsi="Times New Roman"/>
            <w:u w:val="none"/>
          </w:rPr>
          <w:t>https://www.анучинский.рф.</w:t>
        </w:r>
      </w:hyperlink>
    </w:p>
    <w:p>
      <w:pPr>
        <w:pStyle w:val="Normal"/>
        <w:spacing w:lineRule="auto" w:line="312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Оператор электронной площадки</w:t>
      </w:r>
      <w:r>
        <w:rPr>
          <w:rFonts w:cs="Times New Roman" w:ascii="Times New Roman" w:hAnsi="Times New Roman"/>
        </w:rPr>
        <w:t xml:space="preserve"> - акционерное общество «</w:t>
      </w:r>
      <w:bookmarkStart w:id="0" w:name="_Hlk132118241"/>
      <w:r>
        <w:rPr>
          <w:rFonts w:cs="Times New Roman" w:ascii="Times New Roman" w:hAnsi="Times New Roman"/>
        </w:rPr>
        <w:t>Российский аукционный дом»</w:t>
      </w:r>
      <w:bookmarkEnd w:id="0"/>
      <w:r>
        <w:rPr>
          <w:rFonts w:cs="Times New Roman" w:ascii="Times New Roman" w:hAnsi="Times New Roman"/>
        </w:rPr>
        <w:t xml:space="preserve"> (далее - АО «РАД»), </w:t>
      </w:r>
      <w:hyperlink r:id="rId3">
        <w:r>
          <w:rPr>
            <w:rStyle w:val="Hyperlink"/>
            <w:rFonts w:cs="Times New Roman" w:ascii="Times New Roman" w:hAnsi="Times New Roman"/>
            <w:u w:val="none"/>
            <w:lang w:val="en-US"/>
          </w:rPr>
          <w:t>http</w:t>
        </w:r>
        <w:r>
          <w:rPr>
            <w:rStyle w:val="Hyperlink"/>
            <w:rFonts w:cs="Times New Roman" w:ascii="Times New Roman" w:hAnsi="Times New Roman"/>
            <w:u w:val="none"/>
          </w:rPr>
          <w:t>://</w:t>
        </w:r>
        <w:r>
          <w:rPr>
            <w:rStyle w:val="Hyperlink"/>
            <w:rFonts w:cs="Times New Roman" w:ascii="Times New Roman" w:hAnsi="Times New Roman"/>
            <w:u w:val="none"/>
            <w:lang w:val="en-US"/>
          </w:rPr>
          <w:t>www</w:t>
        </w:r>
        <w:r>
          <w:rPr>
            <w:rStyle w:val="Hyperlink"/>
            <w:rFonts w:cs="Times New Roman" w:ascii="Times New Roman" w:hAnsi="Times New Roman"/>
            <w:u w:val="none"/>
          </w:rPr>
          <w:t>.</w:t>
        </w:r>
        <w:r>
          <w:rPr>
            <w:rStyle w:val="Hyperlink"/>
            <w:rFonts w:cs="Times New Roman" w:ascii="Times New Roman" w:hAnsi="Times New Roman"/>
            <w:u w:val="none"/>
            <w:lang w:val="en-US"/>
          </w:rPr>
          <w:t>l</w:t>
        </w:r>
      </w:hyperlink>
      <w:r>
        <w:rPr>
          <w:rStyle w:val="Hyperlink"/>
          <w:rFonts w:cs="Times New Roman" w:ascii="Times New Roman" w:hAnsi="Times New Roman"/>
          <w:u w:val="none"/>
          <w:lang w:val="en-US"/>
        </w:rPr>
        <w:t>ot</w:t>
      </w:r>
      <w:r>
        <w:rPr>
          <w:rStyle w:val="Hyperlink"/>
          <w:rFonts w:cs="Times New Roman" w:ascii="Times New Roman" w:hAnsi="Times New Roman"/>
          <w:u w:val="none"/>
        </w:rPr>
        <w:t>-</w:t>
      </w:r>
      <w:r>
        <w:rPr>
          <w:rStyle w:val="Hyperlink"/>
          <w:rFonts w:cs="Times New Roman" w:ascii="Times New Roman" w:hAnsi="Times New Roman"/>
          <w:u w:val="none"/>
          <w:lang w:val="en-US"/>
        </w:rPr>
        <w:t>online</w:t>
      </w:r>
      <w:r>
        <w:rPr>
          <w:rStyle w:val="Hyperlink"/>
          <w:rFonts w:cs="Times New Roman" w:ascii="Times New Roman" w:hAnsi="Times New Roman"/>
          <w:u w:val="none"/>
        </w:rPr>
        <w:t>.</w:t>
      </w:r>
      <w:r>
        <w:rPr>
          <w:rStyle w:val="Hyperlink"/>
          <w:rFonts w:cs="Times New Roman" w:ascii="Times New Roman" w:hAnsi="Times New Roman"/>
          <w:u w:val="none"/>
          <w:lang w:val="en-US"/>
        </w:rPr>
        <w:t>ru</w:t>
      </w:r>
      <w:r>
        <w:rPr>
          <w:rStyle w:val="Hyperlink"/>
          <w:rFonts w:cs="Times New Roman" w:ascii="Times New Roman" w:hAnsi="Times New Roman"/>
          <w:u w:val="none"/>
        </w:rPr>
        <w:t xml:space="preserve">   </w:t>
      </w:r>
      <w:r>
        <w:rPr>
          <w:rFonts w:cs="Times New Roman" w:ascii="Times New Roman" w:hAnsi="Times New Roman"/>
        </w:rPr>
        <w:t xml:space="preserve">в информационно-телекоммуникационной сети «Интернет». </w:t>
      </w:r>
    </w:p>
    <w:p>
      <w:pPr>
        <w:pStyle w:val="Normal"/>
        <w:shd w:val="clear" w:color="auto" w:fill="F9F9F9"/>
        <w:spacing w:lineRule="atLeast" w:line="15"/>
        <w:rPr>
          <w:rFonts w:ascii="Times New Roman" w:hAnsi="Times New Roman" w:eastAsia="sans-serif" w:cs="Times New Roman"/>
          <w:color w:val="000000"/>
          <w:sz w:val="21"/>
          <w:szCs w:val="21"/>
        </w:rPr>
      </w:pPr>
      <w:r>
        <w:rPr>
          <w:rFonts w:cs="Times New Roman" w:ascii="Times New Roman" w:hAnsi="Times New Roman"/>
        </w:rPr>
        <w:t>Юридический адрес: 1</w:t>
      </w:r>
      <w:r>
        <w:rPr>
          <w:rFonts w:eastAsia="sans-serif" w:cs="Times New Roman" w:ascii="Times New Roman" w:hAnsi="Times New Roman"/>
          <w:color w:val="000000"/>
          <w:kern w:val="0"/>
          <w:sz w:val="21"/>
          <w:szCs w:val="21"/>
          <w:shd w:fill="F9F9F9" w:val="clear"/>
          <w:lang w:bidi="ar-SA"/>
        </w:rPr>
        <w:t>190000, Санкт-Петербург,  переулок Гривцова, д. 5, лит. В</w:t>
      </w:r>
    </w:p>
    <w:p>
      <w:pPr>
        <w:pStyle w:val="Heading4"/>
        <w:rPr>
          <w:rFonts w:ascii="Times New Roman" w:hAnsi="Times New Roman" w:cs="Times New Roman"/>
        </w:rPr>
      </w:pPr>
      <w:r>
        <w:rPr>
          <w:i w:val="false"/>
          <w:iCs w:val="false"/>
          <w:color w:val="000000"/>
          <w:shd w:fill="F9F9F9" w:val="clear"/>
        </w:rPr>
        <w:t xml:space="preserve">Телефон </w:t>
      </w:r>
      <w:r>
        <w:rPr>
          <w:rFonts w:cs="Times New Roman" w:ascii="Times New Roman" w:hAnsi="Times New Roman"/>
        </w:rPr>
        <w:t xml:space="preserve">Круглосуточный телефон </w:t>
      </w:r>
      <w:hyperlink r:id="rId4">
        <w:r>
          <w:rPr>
            <w:rStyle w:val="Hyperlink"/>
            <w:rFonts w:eastAsia="sans-serif" w:cs="Times New Roman" w:ascii="Times New Roman" w:hAnsi="Times New Roman"/>
            <w:i w:val="false"/>
            <w:iCs w:val="false"/>
            <w:color w:val="1C75E3"/>
            <w:sz w:val="21"/>
            <w:szCs w:val="21"/>
            <w:u w:val="none"/>
            <w:shd w:fill="F9F9F9" w:val="clear"/>
          </w:rPr>
          <w:t>8 (800) 777 - 57 - 57</w:t>
        </w:r>
      </w:hyperlink>
      <w:r>
        <w:rPr>
          <w:rFonts w:cs="Times New Roman" w:ascii="Times New Roman" w:hAnsi="Times New Roman"/>
        </w:rPr>
        <w:t xml:space="preserve">, </w:t>
      </w:r>
      <w:hyperlink r:id="rId5">
        <w:r>
          <w:rPr>
            <w:rStyle w:val="Hyperlink"/>
            <w:rFonts w:eastAsia="Arial" w:cs="Arial" w:ascii="Arial" w:hAnsi="Arial"/>
            <w:i w:val="false"/>
            <w:iCs w:val="false"/>
            <w:sz w:val="21"/>
            <w:szCs w:val="21"/>
            <w:u w:val="none"/>
            <w:shd w:fill="FFFFFF" w:val="clear"/>
          </w:rPr>
          <w:t>+7 (812) 777-57-57</w:t>
        </w:r>
      </w:hyperlink>
      <w:r>
        <w:rPr>
          <w:rFonts w:cs="Times New Roman" w:ascii="Times New Roman" w:hAnsi="Times New Roman"/>
        </w:rPr>
        <w:t>.</w:t>
      </w:r>
    </w:p>
    <w:p>
      <w:pPr>
        <w:pStyle w:val="Normal"/>
        <w:spacing w:lineRule="auto" w:line="312"/>
        <w:ind w:firstLine="708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b/>
        </w:rPr>
        <w:t xml:space="preserve">2. Уполномоченный орган и реквизиты решения о проведении электронного аукциона: </w:t>
      </w:r>
      <w:r>
        <w:rPr>
          <w:rFonts w:cs="Times New Roman" w:ascii="Times New Roman" w:hAnsi="Times New Roman"/>
        </w:rPr>
        <w:t>Администрация Анучинского муниципального округа, распоряжение от</w:t>
      </w:r>
      <w:r>
        <w:rPr>
          <w:rFonts w:cs="Times New Roman" w:ascii="Times New Roman" w:hAnsi="Times New Roman"/>
          <w:color w:val="auto"/>
          <w:lang w:val="ru-RU"/>
        </w:rPr>
        <w:t xml:space="preserve"> </w:t>
      </w:r>
      <w:r>
        <w:rPr>
          <w:rFonts w:cs="Times New Roman" w:ascii="Times New Roman" w:hAnsi="Times New Roman"/>
          <w:color w:themeColor="text1" w:val="000000"/>
          <w:u w:val="single"/>
          <w:shd w:fill="auto" w:val="clear"/>
          <w:lang w:val="ru-RU"/>
          <w14:textFill>
            <w14:solidFill>
              <w14:schemeClr w14:val="tx1"/>
            </w14:solidFill>
          </w14:textFill>
        </w:rPr>
        <w:t>30.01.2025г.</w:t>
      </w:r>
      <w:r>
        <w:rPr>
          <w:rFonts w:cs="Times New Roman" w:ascii="Times New Roman" w:hAnsi="Times New Roman"/>
          <w:color w:themeColor="text1" w:val="000000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cs="Times New Roman" w:ascii="Times New Roman" w:hAnsi="Times New Roman"/>
          <w:color w:themeColor="text1" w:val="000000"/>
          <w:shd w:fill="auto" w:val="clear"/>
          <w14:textFill>
            <w14:solidFill>
              <w14:schemeClr w14:val="tx1"/>
            </w14:solidFill>
          </w14:textFill>
        </w:rPr>
        <w:t>№ 69</w:t>
      </w:r>
      <w:r>
        <w:rPr>
          <w:rFonts w:cs="Times New Roman" w:ascii="Times New Roman" w:hAnsi="Times New Roman"/>
          <w:color w:themeColor="text1" w:val="000000"/>
          <w:shd w:fill="auto" w:val="clear"/>
          <w:lang w:val="ru-RU"/>
          <w14:textFill>
            <w14:solidFill>
              <w14:schemeClr w14:val="tx1"/>
            </w14:solidFill>
          </w14:textFill>
        </w:rPr>
        <w:t>-р</w:t>
      </w:r>
    </w:p>
    <w:p>
      <w:pPr>
        <w:pStyle w:val="Normal"/>
        <w:tabs>
          <w:tab w:val="clear" w:pos="708"/>
          <w:tab w:val="left" w:pos="0" w:leader="none"/>
        </w:tabs>
        <w:spacing w:lineRule="auto" w:line="312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ab/>
        <w:t>3. Земельный участок</w:t>
      </w:r>
      <w:r>
        <w:rPr>
          <w:rFonts w:cs="Times New Roman" w:ascii="Times New Roman" w:hAnsi="Times New Roman"/>
        </w:rPr>
        <w:t xml:space="preserve"> находятся в государственной собственности</w:t>
      </w:r>
      <w:r>
        <w:rPr>
          <w:rFonts w:cs="Times New Roman" w:ascii="Times New Roman" w:hAnsi="Times New Roman"/>
          <w:color w:val="FF0000"/>
        </w:rPr>
        <w:t xml:space="preserve"> </w:t>
      </w:r>
      <w:r>
        <w:rPr>
          <w:rFonts w:cs="Times New Roman" w:ascii="Times New Roman" w:hAnsi="Times New Roman"/>
        </w:rPr>
        <w:t>(государственная собственность на которые не разграничена)</w:t>
      </w:r>
    </w:p>
    <w:p>
      <w:pPr>
        <w:pStyle w:val="Normal"/>
        <w:tabs>
          <w:tab w:val="clear" w:pos="708"/>
          <w:tab w:val="left" w:pos="0" w:leader="none"/>
        </w:tabs>
        <w:spacing w:lineRule="auto" w:line="312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ab/>
        <w:t xml:space="preserve">4. Форма аукциона - </w:t>
      </w:r>
      <w:r>
        <w:rPr>
          <w:rFonts w:cs="Times New Roman" w:ascii="Times New Roman" w:hAnsi="Times New Roman"/>
        </w:rPr>
        <w:t xml:space="preserve">электронный аукцион, открытый по составу участников. </w:t>
      </w:r>
    </w:p>
    <w:p>
      <w:pPr>
        <w:pStyle w:val="Normal"/>
        <w:spacing w:lineRule="auto" w:line="312"/>
        <w:ind w:firstLine="708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 xml:space="preserve">5. Место, дата, время и порядок проведения электронного </w:t>
      </w:r>
      <w:r>
        <w:rPr>
          <w:rFonts w:cs="Times New Roman" w:ascii="Times New Roman" w:hAnsi="Times New Roman"/>
          <w:b/>
          <w:lang w:val="en-US"/>
        </w:rPr>
        <w:t>аукциона</w:t>
      </w:r>
      <w:r>
        <w:rPr>
          <w:rFonts w:cs="Times New Roman" w:ascii="Times New Roman" w:hAnsi="Times New Roman"/>
          <w:b/>
          <w:lang w:val="ru-RU"/>
        </w:rPr>
        <w:t xml:space="preserve"> -</w:t>
      </w:r>
      <w:r>
        <w:rPr>
          <w:rFonts w:cs="Times New Roman" w:ascii="Times New Roman" w:hAnsi="Times New Roman"/>
          <w:b/>
          <w:highlight w:val="white"/>
        </w:rPr>
        <w:t xml:space="preserve"> </w:t>
      </w:r>
      <w:r>
        <w:rPr>
          <w:rFonts w:cs="Times New Roman" w:ascii="Times New Roman" w:hAnsi="Times New Roman"/>
          <w:b/>
          <w:highlight w:val="white"/>
          <w:lang w:val="en-US"/>
        </w:rPr>
        <w:t>19</w:t>
      </w:r>
      <w:r>
        <w:rPr>
          <w:rFonts w:cs="Times New Roman" w:ascii="Times New Roman" w:hAnsi="Times New Roman"/>
          <w:b/>
          <w:lang w:val="en-US"/>
        </w:rPr>
        <w:t>.03.2025</w:t>
      </w:r>
      <w:r>
        <w:rPr>
          <w:rFonts w:cs="Times New Roman" w:ascii="Times New Roman" w:hAnsi="Times New Roman"/>
          <w:b/>
          <w:bCs/>
        </w:rPr>
        <w:t xml:space="preserve"> г.</w:t>
      </w:r>
      <w:r>
        <w:rPr>
          <w:rFonts w:cs="Times New Roman" w:ascii="Times New Roman" w:hAnsi="Times New Roman"/>
          <w:b/>
        </w:rPr>
        <w:t xml:space="preserve"> в 1</w:t>
      </w:r>
      <w:r>
        <w:rPr>
          <w:rFonts w:cs="Times New Roman" w:ascii="Times New Roman" w:hAnsi="Times New Roman"/>
          <w:b/>
          <w:lang w:val="ru-RU"/>
        </w:rPr>
        <w:t>0</w:t>
      </w:r>
      <w:r>
        <w:rPr>
          <w:rFonts w:cs="Times New Roman" w:ascii="Times New Roman" w:hAnsi="Times New Roman"/>
          <w:b/>
        </w:rPr>
        <w:t xml:space="preserve"> час. 00 мин. (время местное) </w:t>
      </w:r>
      <w:bookmarkStart w:id="1" w:name="_Hlk126308157"/>
      <w:r>
        <w:rPr>
          <w:rFonts w:cs="Times New Roman" w:ascii="Times New Roman" w:hAnsi="Times New Roman"/>
          <w:b/>
        </w:rPr>
        <w:t xml:space="preserve">электронный </w:t>
      </w:r>
      <w:r>
        <w:rPr>
          <w:rFonts w:cs="Times New Roman" w:ascii="Times New Roman" w:hAnsi="Times New Roman"/>
        </w:rPr>
        <w:t>аукцион проводится</w:t>
      </w:r>
      <w:r>
        <w:rPr>
          <w:rFonts w:cs="Times New Roman" w:ascii="Times New Roman" w:hAnsi="Times New Roman"/>
          <w:b/>
        </w:rPr>
        <w:t xml:space="preserve"> </w:t>
      </w:r>
      <w:bookmarkStart w:id="2" w:name="_Hlk126307927"/>
      <w:bookmarkStart w:id="3" w:name="_Hlk126307962"/>
      <w:r>
        <w:rPr>
          <w:rFonts w:cs="Times New Roman" w:ascii="Times New Roman" w:hAnsi="Times New Roman"/>
        </w:rPr>
        <w:t xml:space="preserve">на </w:t>
      </w:r>
      <w:bookmarkEnd w:id="1"/>
      <w:bookmarkEnd w:id="2"/>
      <w:bookmarkEnd w:id="3"/>
      <w:r>
        <w:rPr>
          <w:rFonts w:cs="Times New Roman" w:ascii="Times New Roman" w:hAnsi="Times New Roman"/>
        </w:rPr>
        <w:t xml:space="preserve">электронной торговой площадке АО «Российский аукционный дом» (далее - АО «РАД»), </w:t>
      </w:r>
      <w:hyperlink r:id="rId6">
        <w:r>
          <w:rPr>
            <w:rStyle w:val="Hyperlink"/>
            <w:rFonts w:cs="Times New Roman" w:ascii="Times New Roman" w:hAnsi="Times New Roman"/>
            <w:u w:val="none"/>
            <w:lang w:val="en-US"/>
          </w:rPr>
          <w:t>http</w:t>
        </w:r>
        <w:r>
          <w:rPr>
            <w:rStyle w:val="Hyperlink"/>
            <w:rFonts w:cs="Times New Roman" w:ascii="Times New Roman" w:hAnsi="Times New Roman"/>
            <w:u w:val="none"/>
          </w:rPr>
          <w:t>://</w:t>
        </w:r>
        <w:r>
          <w:rPr>
            <w:rStyle w:val="Hyperlink"/>
            <w:rFonts w:cs="Times New Roman" w:ascii="Times New Roman" w:hAnsi="Times New Roman"/>
            <w:u w:val="none"/>
            <w:lang w:val="en-US"/>
          </w:rPr>
          <w:t>www</w:t>
        </w:r>
        <w:r>
          <w:rPr>
            <w:rStyle w:val="Hyperlink"/>
            <w:rFonts w:cs="Times New Roman" w:ascii="Times New Roman" w:hAnsi="Times New Roman"/>
            <w:u w:val="none"/>
          </w:rPr>
          <w:t>.</w:t>
        </w:r>
        <w:r>
          <w:rPr>
            <w:rStyle w:val="Hyperlink"/>
            <w:rFonts w:cs="Times New Roman" w:ascii="Times New Roman" w:hAnsi="Times New Roman"/>
            <w:u w:val="none"/>
            <w:lang w:val="en-US"/>
          </w:rPr>
          <w:t>l</w:t>
        </w:r>
      </w:hyperlink>
      <w:r>
        <w:rPr>
          <w:rStyle w:val="Hyperlink"/>
          <w:rFonts w:cs="Times New Roman" w:ascii="Times New Roman" w:hAnsi="Times New Roman"/>
          <w:u w:val="none"/>
          <w:lang w:val="en-US"/>
        </w:rPr>
        <w:t>ot</w:t>
      </w:r>
      <w:r>
        <w:rPr>
          <w:rStyle w:val="Hyperlink"/>
          <w:rFonts w:cs="Times New Roman" w:ascii="Times New Roman" w:hAnsi="Times New Roman"/>
          <w:u w:val="none"/>
        </w:rPr>
        <w:t>-</w:t>
      </w:r>
      <w:r>
        <w:rPr>
          <w:rStyle w:val="Hyperlink"/>
          <w:rFonts w:cs="Times New Roman" w:ascii="Times New Roman" w:hAnsi="Times New Roman"/>
          <w:u w:val="none"/>
          <w:lang w:val="en-US"/>
        </w:rPr>
        <w:t>online</w:t>
      </w:r>
      <w:r>
        <w:rPr>
          <w:rStyle w:val="Hyperlink"/>
          <w:rFonts w:cs="Times New Roman" w:ascii="Times New Roman" w:hAnsi="Times New Roman"/>
          <w:u w:val="none"/>
        </w:rPr>
        <w:t>.</w:t>
      </w:r>
      <w:r>
        <w:rPr>
          <w:rStyle w:val="Hyperlink"/>
          <w:rFonts w:cs="Times New Roman" w:ascii="Times New Roman" w:hAnsi="Times New Roman"/>
          <w:u w:val="none"/>
          <w:lang w:val="en-US"/>
        </w:rPr>
        <w:t>ru</w:t>
      </w:r>
      <w:r>
        <w:rPr>
          <w:rFonts w:cs="Times New Roman" w:ascii="Times New Roman" w:hAnsi="Times New Roman"/>
        </w:rPr>
        <w:t xml:space="preserve">, через официальный сайт торгов: </w:t>
      </w:r>
      <w:hyperlink r:id="rId7">
        <w:r>
          <w:rPr>
            <w:rStyle w:val="Hyperlink"/>
            <w:rFonts w:cs="Times New Roman" w:ascii="Times New Roman" w:hAnsi="Times New Roman"/>
            <w:u w:val="none"/>
          </w:rPr>
          <w:t>www.torgi.gov.ru</w:t>
        </w:r>
      </w:hyperlink>
      <w:r>
        <w:rPr>
          <w:rFonts w:cs="Times New Roman" w:ascii="Times New Roman" w:hAnsi="Times New Roman"/>
        </w:rPr>
        <w:t>.</w:t>
      </w:r>
    </w:p>
    <w:p>
      <w:pPr>
        <w:pStyle w:val="Normal"/>
        <w:spacing w:lineRule="auto" w:line="312"/>
        <w:ind w:firstLine="708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 xml:space="preserve">6. Дата, место начало приема заявок на участие в электронном аукционе </w:t>
      </w:r>
      <w:r>
        <w:rPr>
          <w:rFonts w:cs="Times New Roman" w:ascii="Times New Roman" w:hAnsi="Times New Roman"/>
        </w:rPr>
        <w:t xml:space="preserve">– </w:t>
      </w:r>
      <w:r>
        <w:rPr>
          <w:rFonts w:cs="Times New Roman" w:ascii="Times New Roman" w:hAnsi="Times New Roman"/>
          <w:b/>
          <w:bCs/>
          <w:lang w:val="en-US"/>
        </w:rPr>
        <w:t>12</w:t>
      </w:r>
      <w:r>
        <w:rPr>
          <w:rFonts w:cs="Times New Roman" w:ascii="Times New Roman" w:hAnsi="Times New Roman"/>
          <w:b/>
          <w:bCs/>
        </w:rPr>
        <w:t>.</w:t>
      </w:r>
      <w:r>
        <w:rPr>
          <w:rFonts w:cs="Times New Roman" w:ascii="Times New Roman" w:hAnsi="Times New Roman"/>
          <w:b/>
          <w:bCs/>
          <w:lang w:val="en-US"/>
        </w:rPr>
        <w:t>02</w:t>
      </w:r>
      <w:r>
        <w:rPr>
          <w:rFonts w:cs="Times New Roman" w:ascii="Times New Roman" w:hAnsi="Times New Roman"/>
          <w:b/>
          <w:bCs/>
        </w:rPr>
        <w:t>.202</w:t>
      </w:r>
      <w:r>
        <w:rPr>
          <w:rFonts w:cs="Times New Roman" w:ascii="Times New Roman" w:hAnsi="Times New Roman"/>
          <w:b/>
          <w:bCs/>
          <w:lang w:val="en-US"/>
        </w:rPr>
        <w:t>5</w:t>
      </w:r>
      <w:r>
        <w:rPr>
          <w:rFonts w:cs="Times New Roman" w:ascii="Times New Roman" w:hAnsi="Times New Roman"/>
          <w:b/>
          <w:bCs/>
          <w:highlight w:val="white"/>
        </w:rPr>
        <w:t xml:space="preserve"> г.</w:t>
      </w:r>
      <w:r>
        <w:rPr>
          <w:rFonts w:cs="Times New Roman" w:ascii="Times New Roman" w:hAnsi="Times New Roman"/>
          <w:b/>
          <w:bCs/>
        </w:rPr>
        <w:t xml:space="preserve"> </w:t>
      </w:r>
      <w:r>
        <w:rPr>
          <w:rFonts w:cs="Times New Roman" w:ascii="Times New Roman" w:hAnsi="Times New Roman"/>
          <w:b/>
          <w:bCs/>
          <w:lang w:val="ru-RU"/>
        </w:rPr>
        <w:t>10</w:t>
      </w:r>
      <w:r>
        <w:rPr>
          <w:rFonts w:cs="Times New Roman" w:ascii="Times New Roman" w:hAnsi="Times New Roman"/>
          <w:b/>
          <w:bCs/>
        </w:rPr>
        <w:t xml:space="preserve"> часов 00 минут </w:t>
      </w:r>
      <w:bookmarkStart w:id="4" w:name="_Hlk132120284"/>
      <w:r>
        <w:rPr>
          <w:rFonts w:cs="Times New Roman" w:ascii="Times New Roman" w:hAnsi="Times New Roman"/>
        </w:rPr>
        <w:t xml:space="preserve">(время местное) </w:t>
      </w:r>
      <w:bookmarkStart w:id="5" w:name="_Hlk132120336"/>
      <w:r>
        <w:rPr>
          <w:rFonts w:cs="Times New Roman" w:ascii="Times New Roman" w:hAnsi="Times New Roman"/>
        </w:rPr>
        <w:t xml:space="preserve">электронная торговая площадка АО «Российский аукционный дом», </w:t>
      </w:r>
      <w:hyperlink r:id="rId8">
        <w:r>
          <w:rPr>
            <w:rStyle w:val="Hyperlink"/>
            <w:rFonts w:cs="Times New Roman" w:ascii="Times New Roman" w:hAnsi="Times New Roman"/>
            <w:u w:val="none"/>
            <w:lang w:val="en-US"/>
          </w:rPr>
          <w:t>http</w:t>
        </w:r>
        <w:r>
          <w:rPr>
            <w:rStyle w:val="Hyperlink"/>
            <w:rFonts w:cs="Times New Roman" w:ascii="Times New Roman" w:hAnsi="Times New Roman"/>
            <w:u w:val="none"/>
          </w:rPr>
          <w:t>://</w:t>
        </w:r>
        <w:r>
          <w:rPr>
            <w:rStyle w:val="Hyperlink"/>
            <w:rFonts w:cs="Times New Roman" w:ascii="Times New Roman" w:hAnsi="Times New Roman"/>
            <w:u w:val="none"/>
            <w:lang w:val="en-US"/>
          </w:rPr>
          <w:t>www</w:t>
        </w:r>
        <w:r>
          <w:rPr>
            <w:rStyle w:val="Hyperlink"/>
            <w:rFonts w:cs="Times New Roman" w:ascii="Times New Roman" w:hAnsi="Times New Roman"/>
            <w:u w:val="none"/>
          </w:rPr>
          <w:t>.</w:t>
        </w:r>
        <w:r>
          <w:rPr>
            <w:rStyle w:val="Hyperlink"/>
            <w:rFonts w:cs="Times New Roman" w:ascii="Times New Roman" w:hAnsi="Times New Roman"/>
            <w:u w:val="none"/>
            <w:lang w:val="en-US"/>
          </w:rPr>
          <w:t>l</w:t>
        </w:r>
      </w:hyperlink>
      <w:r>
        <w:rPr>
          <w:rStyle w:val="Hyperlink"/>
          <w:rFonts w:cs="Times New Roman" w:ascii="Times New Roman" w:hAnsi="Times New Roman"/>
          <w:u w:val="none"/>
          <w:lang w:val="en-US"/>
        </w:rPr>
        <w:t>ot</w:t>
      </w:r>
      <w:r>
        <w:rPr>
          <w:rStyle w:val="Hyperlink"/>
          <w:rFonts w:cs="Times New Roman" w:ascii="Times New Roman" w:hAnsi="Times New Roman"/>
          <w:u w:val="none"/>
        </w:rPr>
        <w:t>-</w:t>
      </w:r>
      <w:r>
        <w:rPr>
          <w:rStyle w:val="Hyperlink"/>
          <w:rFonts w:cs="Times New Roman" w:ascii="Times New Roman" w:hAnsi="Times New Roman"/>
          <w:u w:val="none"/>
          <w:lang w:val="en-US"/>
        </w:rPr>
        <w:t>online</w:t>
      </w:r>
      <w:r>
        <w:rPr>
          <w:rStyle w:val="Hyperlink"/>
          <w:rFonts w:cs="Times New Roman" w:ascii="Times New Roman" w:hAnsi="Times New Roman"/>
          <w:u w:val="none"/>
        </w:rPr>
        <w:t>.</w:t>
      </w:r>
      <w:r>
        <w:rPr>
          <w:rStyle w:val="Hyperlink"/>
          <w:rFonts w:cs="Times New Roman" w:ascii="Times New Roman" w:hAnsi="Times New Roman"/>
          <w:u w:val="none"/>
          <w:lang w:val="en-US"/>
        </w:rPr>
        <w:t>ru</w:t>
      </w:r>
      <w:r>
        <w:rPr>
          <w:rFonts w:cs="Times New Roman" w:ascii="Times New Roman" w:hAnsi="Times New Roman"/>
        </w:rPr>
        <w:t xml:space="preserve">, через официальный сайт торгов: </w:t>
      </w:r>
      <w:hyperlink r:id="rId9">
        <w:r>
          <w:rPr>
            <w:rStyle w:val="Hyperlink"/>
            <w:rFonts w:cs="Times New Roman" w:ascii="Times New Roman" w:hAnsi="Times New Roman"/>
            <w:u w:val="none"/>
            <w:lang w:val="en-US"/>
          </w:rPr>
          <w:t>www</w:t>
        </w:r>
        <w:r>
          <w:rPr>
            <w:rStyle w:val="Hyperlink"/>
            <w:rFonts w:cs="Times New Roman" w:ascii="Times New Roman" w:hAnsi="Times New Roman"/>
            <w:u w:val="none"/>
          </w:rPr>
          <w:t>.</w:t>
        </w:r>
        <w:r>
          <w:rPr>
            <w:rStyle w:val="Hyperlink"/>
            <w:rFonts w:cs="Times New Roman" w:ascii="Times New Roman" w:hAnsi="Times New Roman"/>
            <w:u w:val="none"/>
            <w:lang w:val="en-US"/>
          </w:rPr>
          <w:t>torgi</w:t>
        </w:r>
        <w:r>
          <w:rPr>
            <w:rStyle w:val="Hyperlink"/>
            <w:rFonts w:cs="Times New Roman" w:ascii="Times New Roman" w:hAnsi="Times New Roman"/>
            <w:u w:val="none"/>
          </w:rPr>
          <w:t>.</w:t>
        </w:r>
        <w:r>
          <w:rPr>
            <w:rStyle w:val="Hyperlink"/>
            <w:rFonts w:cs="Times New Roman" w:ascii="Times New Roman" w:hAnsi="Times New Roman"/>
            <w:u w:val="none"/>
            <w:lang w:val="en-US"/>
          </w:rPr>
          <w:t>gov</w:t>
        </w:r>
        <w:r>
          <w:rPr>
            <w:rStyle w:val="Hyperlink"/>
            <w:rFonts w:cs="Times New Roman" w:ascii="Times New Roman" w:hAnsi="Times New Roman"/>
            <w:u w:val="none"/>
          </w:rPr>
          <w:t>.</w:t>
        </w:r>
        <w:r>
          <w:rPr>
            <w:rStyle w:val="Hyperlink"/>
            <w:rFonts w:cs="Times New Roman" w:ascii="Times New Roman" w:hAnsi="Times New Roman"/>
            <w:u w:val="none"/>
            <w:lang w:val="en-US"/>
          </w:rPr>
          <w:t>ru</w:t>
        </w:r>
      </w:hyperlink>
      <w:r>
        <w:rPr>
          <w:rStyle w:val="Hyperlink"/>
          <w:rFonts w:cs="Times New Roman" w:ascii="Times New Roman" w:hAnsi="Times New Roman"/>
        </w:rPr>
        <w:t>.</w:t>
      </w:r>
      <w:bookmarkEnd w:id="4"/>
      <w:bookmarkEnd w:id="5"/>
    </w:p>
    <w:p>
      <w:pPr>
        <w:pStyle w:val="Normal"/>
        <w:tabs>
          <w:tab w:val="clear" w:pos="708"/>
          <w:tab w:val="left" w:pos="0" w:leader="none"/>
        </w:tabs>
        <w:spacing w:lineRule="auto" w:line="312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7. Дата окончания приема заявок на участие в электронном аукционе</w:t>
      </w:r>
      <w:r>
        <w:rPr>
          <w:rFonts w:cs="Times New Roman" w:ascii="Times New Roman" w:hAnsi="Times New Roman"/>
        </w:rPr>
        <w:t xml:space="preserve"> —</w:t>
      </w:r>
      <w:r>
        <w:rPr>
          <w:rFonts w:cs="Times New Roman" w:ascii="Times New Roman" w:hAnsi="Times New Roman"/>
          <w:b/>
          <w:bCs/>
          <w:lang w:val="en-US"/>
        </w:rPr>
        <w:t>13</w:t>
      </w:r>
      <w:r>
        <w:rPr>
          <w:rFonts w:cs="Times New Roman" w:ascii="Times New Roman" w:hAnsi="Times New Roman"/>
          <w:b/>
          <w:bCs/>
        </w:rPr>
        <w:t>.</w:t>
      </w:r>
      <w:r>
        <w:rPr>
          <w:rFonts w:cs="Times New Roman" w:ascii="Times New Roman" w:hAnsi="Times New Roman"/>
          <w:b/>
          <w:bCs/>
          <w:lang w:val="en-US"/>
        </w:rPr>
        <w:t>03</w:t>
      </w:r>
      <w:r>
        <w:rPr>
          <w:rFonts w:cs="Times New Roman" w:ascii="Times New Roman" w:hAnsi="Times New Roman"/>
          <w:b/>
          <w:bCs/>
        </w:rPr>
        <w:t>.202</w:t>
      </w:r>
      <w:r>
        <w:rPr>
          <w:rFonts w:cs="Times New Roman" w:ascii="Times New Roman" w:hAnsi="Times New Roman"/>
          <w:b/>
          <w:bCs/>
          <w:lang w:val="ru-RU"/>
        </w:rPr>
        <w:t>5</w:t>
      </w:r>
      <w:r>
        <w:rPr>
          <w:rFonts w:cs="Times New Roman" w:ascii="Times New Roman" w:hAnsi="Times New Roman"/>
          <w:b/>
          <w:bCs/>
          <w:highlight w:val="white"/>
        </w:rPr>
        <w:t xml:space="preserve"> г.</w:t>
      </w:r>
      <w:r>
        <w:rPr>
          <w:rFonts w:cs="Times New Roman" w:ascii="Times New Roman" w:hAnsi="Times New Roman"/>
          <w:highlight w:val="white"/>
        </w:rPr>
        <w:t xml:space="preserve"> </w:t>
      </w:r>
      <w:r>
        <w:rPr>
          <w:rFonts w:cs="Times New Roman" w:ascii="Times New Roman" w:hAnsi="Times New Roman"/>
        </w:rPr>
        <w:t xml:space="preserve"> 1</w:t>
      </w:r>
      <w:r>
        <w:rPr>
          <w:rFonts w:cs="Times New Roman" w:ascii="Times New Roman" w:hAnsi="Times New Roman"/>
          <w:lang w:val="ru-RU"/>
        </w:rPr>
        <w:t>0</w:t>
      </w:r>
      <w:r>
        <w:rPr>
          <w:rFonts w:cs="Times New Roman" w:ascii="Times New Roman" w:hAnsi="Times New Roman"/>
        </w:rPr>
        <w:t xml:space="preserve"> часов 00 минут (время местное) электронная торговая площадка АО «Российский аукционный дом», </w:t>
      </w:r>
      <w:hyperlink r:id="rId10">
        <w:r>
          <w:rPr>
            <w:rStyle w:val="Hyperlink"/>
            <w:rFonts w:cs="Times New Roman" w:ascii="Times New Roman" w:hAnsi="Times New Roman"/>
            <w:u w:val="none"/>
            <w:lang w:val="en-US"/>
          </w:rPr>
          <w:t>http</w:t>
        </w:r>
        <w:r>
          <w:rPr>
            <w:rStyle w:val="Hyperlink"/>
            <w:rFonts w:cs="Times New Roman" w:ascii="Times New Roman" w:hAnsi="Times New Roman"/>
            <w:u w:val="none"/>
          </w:rPr>
          <w:t>://</w:t>
        </w:r>
        <w:r>
          <w:rPr>
            <w:rStyle w:val="Hyperlink"/>
            <w:rFonts w:cs="Times New Roman" w:ascii="Times New Roman" w:hAnsi="Times New Roman"/>
            <w:u w:val="none"/>
            <w:lang w:val="en-US"/>
          </w:rPr>
          <w:t>www</w:t>
        </w:r>
        <w:r>
          <w:rPr>
            <w:rStyle w:val="Hyperlink"/>
            <w:rFonts w:cs="Times New Roman" w:ascii="Times New Roman" w:hAnsi="Times New Roman"/>
            <w:u w:val="none"/>
          </w:rPr>
          <w:t>.</w:t>
        </w:r>
        <w:r>
          <w:rPr>
            <w:rStyle w:val="Hyperlink"/>
            <w:rFonts w:cs="Times New Roman" w:ascii="Times New Roman" w:hAnsi="Times New Roman"/>
            <w:u w:val="none"/>
            <w:lang w:val="en-US"/>
          </w:rPr>
          <w:t>l</w:t>
        </w:r>
      </w:hyperlink>
      <w:r>
        <w:rPr>
          <w:rStyle w:val="Hyperlink"/>
          <w:rFonts w:cs="Times New Roman" w:ascii="Times New Roman" w:hAnsi="Times New Roman"/>
          <w:u w:val="none"/>
          <w:lang w:val="en-US"/>
        </w:rPr>
        <w:t>ot</w:t>
      </w:r>
      <w:r>
        <w:rPr>
          <w:rStyle w:val="Hyperlink"/>
          <w:rFonts w:cs="Times New Roman" w:ascii="Times New Roman" w:hAnsi="Times New Roman"/>
          <w:u w:val="none"/>
        </w:rPr>
        <w:t>-</w:t>
      </w:r>
      <w:r>
        <w:rPr>
          <w:rStyle w:val="Hyperlink"/>
          <w:rFonts w:cs="Times New Roman" w:ascii="Times New Roman" w:hAnsi="Times New Roman"/>
          <w:u w:val="none"/>
          <w:lang w:val="en-US"/>
        </w:rPr>
        <w:t>online</w:t>
      </w:r>
      <w:r>
        <w:rPr>
          <w:rStyle w:val="Hyperlink"/>
          <w:rFonts w:cs="Times New Roman" w:ascii="Times New Roman" w:hAnsi="Times New Roman"/>
          <w:u w:val="none"/>
        </w:rPr>
        <w:t>.</w:t>
      </w:r>
      <w:r>
        <w:rPr>
          <w:rStyle w:val="Hyperlink"/>
          <w:rFonts w:cs="Times New Roman" w:ascii="Times New Roman" w:hAnsi="Times New Roman"/>
          <w:u w:val="none"/>
          <w:lang w:val="en-US"/>
        </w:rPr>
        <w:t>ru</w:t>
      </w:r>
      <w:r>
        <w:rPr>
          <w:rFonts w:cs="Times New Roman" w:ascii="Times New Roman" w:hAnsi="Times New Roman"/>
        </w:rPr>
        <w:t xml:space="preserve">, через официальный сайт торгов: </w:t>
      </w:r>
      <w:hyperlink r:id="rId11">
        <w:r>
          <w:rPr>
            <w:rStyle w:val="Hyperlink"/>
            <w:rFonts w:cs="Times New Roman" w:ascii="Times New Roman" w:hAnsi="Times New Roman"/>
            <w:u w:val="none"/>
            <w:lang w:val="en-US"/>
          </w:rPr>
          <w:t>www</w:t>
        </w:r>
        <w:r>
          <w:rPr>
            <w:rStyle w:val="Hyperlink"/>
            <w:rFonts w:cs="Times New Roman" w:ascii="Times New Roman" w:hAnsi="Times New Roman"/>
            <w:u w:val="none"/>
          </w:rPr>
          <w:t>.</w:t>
        </w:r>
        <w:r>
          <w:rPr>
            <w:rStyle w:val="Hyperlink"/>
            <w:rFonts w:cs="Times New Roman" w:ascii="Times New Roman" w:hAnsi="Times New Roman"/>
            <w:u w:val="none"/>
            <w:lang w:val="en-US"/>
          </w:rPr>
          <w:t>torgi</w:t>
        </w:r>
        <w:r>
          <w:rPr>
            <w:rStyle w:val="Hyperlink"/>
            <w:rFonts w:cs="Times New Roman" w:ascii="Times New Roman" w:hAnsi="Times New Roman"/>
            <w:u w:val="none"/>
          </w:rPr>
          <w:t>.</w:t>
        </w:r>
        <w:r>
          <w:rPr>
            <w:rStyle w:val="Hyperlink"/>
            <w:rFonts w:cs="Times New Roman" w:ascii="Times New Roman" w:hAnsi="Times New Roman"/>
            <w:u w:val="none"/>
            <w:lang w:val="en-US"/>
          </w:rPr>
          <w:t>gov</w:t>
        </w:r>
        <w:r>
          <w:rPr>
            <w:rStyle w:val="Hyperlink"/>
            <w:rFonts w:cs="Times New Roman" w:ascii="Times New Roman" w:hAnsi="Times New Roman"/>
            <w:u w:val="none"/>
          </w:rPr>
          <w:t>.</w:t>
        </w:r>
        <w:r>
          <w:rPr>
            <w:rStyle w:val="Hyperlink"/>
            <w:rFonts w:cs="Times New Roman" w:ascii="Times New Roman" w:hAnsi="Times New Roman"/>
            <w:u w:val="none"/>
            <w:lang w:val="en-US"/>
          </w:rPr>
          <w:t>ru</w:t>
        </w:r>
      </w:hyperlink>
      <w:r>
        <w:rPr>
          <w:rFonts w:cs="Times New Roman" w:ascii="Times New Roman" w:hAnsi="Times New Roman"/>
        </w:rPr>
        <w:t xml:space="preserve">. </w:t>
      </w:r>
    </w:p>
    <w:p>
      <w:pPr>
        <w:pStyle w:val="Normal"/>
        <w:tabs>
          <w:tab w:val="clear" w:pos="708"/>
          <w:tab w:val="left" w:pos="0" w:leader="none"/>
        </w:tabs>
        <w:spacing w:lineRule="auto" w:line="312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8.</w:t>
      </w:r>
      <w:r>
        <w:rPr>
          <w:rFonts w:cs="Times New Roman" w:ascii="Times New Roman" w:hAnsi="Times New Roman"/>
          <w:b/>
          <w:lang w:val="ru-RU"/>
        </w:rPr>
        <w:t xml:space="preserve"> </w:t>
      </w:r>
      <w:r>
        <w:rPr>
          <w:rFonts w:cs="Times New Roman" w:ascii="Times New Roman" w:hAnsi="Times New Roman"/>
          <w:b/>
        </w:rPr>
        <w:t>Дата, время и место рассмотрения заявок на участие в электронном аукционе</w:t>
      </w:r>
      <w:r>
        <w:rPr>
          <w:rFonts w:cs="Times New Roman" w:ascii="Times New Roman" w:hAnsi="Times New Roman"/>
        </w:rPr>
        <w:t xml:space="preserve"> – </w:t>
      </w:r>
      <w:r>
        <w:rPr>
          <w:rFonts w:cs="Times New Roman" w:ascii="Times New Roman" w:hAnsi="Times New Roman"/>
          <w:b/>
          <w:bCs/>
        </w:rPr>
        <w:t>17</w:t>
      </w:r>
      <w:r>
        <w:rPr>
          <w:rFonts w:cs="Times New Roman" w:ascii="Times New Roman" w:hAnsi="Times New Roman"/>
          <w:b/>
          <w:bCs/>
          <w:lang w:val="en-US"/>
        </w:rPr>
        <w:t>.03.2025</w:t>
      </w:r>
      <w:r>
        <w:rPr>
          <w:rFonts w:eastAsia="SimSun" w:cs="Times New Roman" w:ascii="Times New Roman" w:hAnsi="Times New Roman"/>
          <w:b/>
          <w:bCs/>
          <w:highlight w:val="white"/>
        </w:rPr>
        <w:t xml:space="preserve"> </w:t>
      </w:r>
      <w:r>
        <w:rPr>
          <w:rFonts w:cs="Times New Roman" w:ascii="Times New Roman" w:hAnsi="Times New Roman"/>
          <w:b/>
          <w:bCs/>
          <w:highlight w:val="white"/>
        </w:rPr>
        <w:t>г.</w:t>
      </w:r>
      <w:r>
        <w:rPr>
          <w:rFonts w:cs="Times New Roman" w:ascii="Times New Roman" w:hAnsi="Times New Roman"/>
          <w:highlight w:val="white"/>
        </w:rPr>
        <w:t xml:space="preserve"> в 1</w:t>
      </w:r>
      <w:r>
        <w:rPr>
          <w:rFonts w:cs="Times New Roman" w:ascii="Times New Roman" w:hAnsi="Times New Roman"/>
          <w:highlight w:val="white"/>
          <w:lang w:val="ru-RU"/>
        </w:rPr>
        <w:t>0</w:t>
      </w:r>
      <w:r>
        <w:rPr>
          <w:rFonts w:cs="Times New Roman" w:ascii="Times New Roman" w:hAnsi="Times New Roman"/>
          <w:highlight w:val="white"/>
        </w:rPr>
        <w:t xml:space="preserve"> час. 00 мин. </w:t>
      </w:r>
      <w:r>
        <w:rPr>
          <w:rFonts w:cs="Times New Roman" w:ascii="Times New Roman" w:hAnsi="Times New Roman"/>
        </w:rPr>
        <w:t xml:space="preserve">(время местное) </w:t>
      </w:r>
      <w:bookmarkStart w:id="6" w:name="_Hlk132120416"/>
      <w:r>
        <w:rPr>
          <w:rFonts w:cs="Times New Roman" w:ascii="Times New Roman" w:hAnsi="Times New Roman"/>
        </w:rPr>
        <w:t xml:space="preserve">электронная торговая площадка АО «Российский аукционный дом» , </w:t>
      </w:r>
      <w:hyperlink r:id="rId12">
        <w:r>
          <w:rPr>
            <w:rStyle w:val="Hyperlink"/>
            <w:rFonts w:cs="Times New Roman" w:ascii="Times New Roman" w:hAnsi="Times New Roman"/>
            <w:u w:val="none"/>
            <w:lang w:val="en-US"/>
          </w:rPr>
          <w:t>http</w:t>
        </w:r>
        <w:r>
          <w:rPr>
            <w:rStyle w:val="Hyperlink"/>
            <w:rFonts w:cs="Times New Roman" w:ascii="Times New Roman" w:hAnsi="Times New Roman"/>
            <w:u w:val="none"/>
          </w:rPr>
          <w:t>://</w:t>
        </w:r>
        <w:r>
          <w:rPr>
            <w:rStyle w:val="Hyperlink"/>
            <w:rFonts w:cs="Times New Roman" w:ascii="Times New Roman" w:hAnsi="Times New Roman"/>
            <w:u w:val="none"/>
            <w:lang w:val="en-US"/>
          </w:rPr>
          <w:t>www</w:t>
        </w:r>
        <w:r>
          <w:rPr>
            <w:rStyle w:val="Hyperlink"/>
            <w:rFonts w:cs="Times New Roman" w:ascii="Times New Roman" w:hAnsi="Times New Roman"/>
            <w:u w:val="none"/>
          </w:rPr>
          <w:t>.</w:t>
        </w:r>
        <w:r>
          <w:rPr>
            <w:rStyle w:val="Hyperlink"/>
            <w:rFonts w:cs="Times New Roman" w:ascii="Times New Roman" w:hAnsi="Times New Roman"/>
            <w:u w:val="none"/>
            <w:lang w:val="en-US"/>
          </w:rPr>
          <w:t>l</w:t>
        </w:r>
      </w:hyperlink>
      <w:r>
        <w:rPr>
          <w:rStyle w:val="Hyperlink"/>
          <w:rFonts w:cs="Times New Roman" w:ascii="Times New Roman" w:hAnsi="Times New Roman"/>
          <w:u w:val="none"/>
          <w:lang w:val="en-US"/>
        </w:rPr>
        <w:t>ot</w:t>
      </w:r>
      <w:r>
        <w:rPr>
          <w:rStyle w:val="Hyperlink"/>
          <w:rFonts w:cs="Times New Roman" w:ascii="Times New Roman" w:hAnsi="Times New Roman"/>
          <w:u w:val="none"/>
        </w:rPr>
        <w:t>-</w:t>
      </w:r>
      <w:r>
        <w:rPr>
          <w:rStyle w:val="Hyperlink"/>
          <w:rFonts w:cs="Times New Roman" w:ascii="Times New Roman" w:hAnsi="Times New Roman"/>
          <w:u w:val="none"/>
          <w:lang w:val="en-US"/>
        </w:rPr>
        <w:t>online</w:t>
      </w:r>
      <w:r>
        <w:rPr>
          <w:rStyle w:val="Hyperlink"/>
          <w:rFonts w:cs="Times New Roman" w:ascii="Times New Roman" w:hAnsi="Times New Roman"/>
          <w:u w:val="none"/>
        </w:rPr>
        <w:t>.</w:t>
      </w:r>
      <w:r>
        <w:rPr>
          <w:rStyle w:val="Hyperlink"/>
          <w:rFonts w:cs="Times New Roman" w:ascii="Times New Roman" w:hAnsi="Times New Roman"/>
          <w:u w:val="none"/>
          <w:lang w:val="en-US"/>
        </w:rPr>
        <w:t>ru</w:t>
      </w:r>
      <w:r>
        <w:rPr>
          <w:rFonts w:cs="Times New Roman" w:ascii="Times New Roman" w:hAnsi="Times New Roman"/>
        </w:rPr>
        <w:t xml:space="preserve">, через официальный сайт торгов: </w:t>
      </w:r>
      <w:hyperlink r:id="rId13">
        <w:r>
          <w:rPr>
            <w:rStyle w:val="Hyperlink"/>
            <w:rFonts w:cs="Times New Roman" w:ascii="Times New Roman" w:hAnsi="Times New Roman"/>
            <w:u w:val="none"/>
            <w:lang w:val="en-US"/>
          </w:rPr>
          <w:t>www</w:t>
        </w:r>
        <w:r>
          <w:rPr>
            <w:rStyle w:val="Hyperlink"/>
            <w:rFonts w:cs="Times New Roman" w:ascii="Times New Roman" w:hAnsi="Times New Roman"/>
            <w:u w:val="none"/>
          </w:rPr>
          <w:t>.</w:t>
        </w:r>
        <w:r>
          <w:rPr>
            <w:rStyle w:val="Hyperlink"/>
            <w:rFonts w:cs="Times New Roman" w:ascii="Times New Roman" w:hAnsi="Times New Roman"/>
            <w:u w:val="none"/>
            <w:lang w:val="en-US"/>
          </w:rPr>
          <w:t>torgi</w:t>
        </w:r>
        <w:r>
          <w:rPr>
            <w:rStyle w:val="Hyperlink"/>
            <w:rFonts w:cs="Times New Roman" w:ascii="Times New Roman" w:hAnsi="Times New Roman"/>
            <w:u w:val="none"/>
          </w:rPr>
          <w:t>.</w:t>
        </w:r>
        <w:r>
          <w:rPr>
            <w:rStyle w:val="Hyperlink"/>
            <w:rFonts w:cs="Times New Roman" w:ascii="Times New Roman" w:hAnsi="Times New Roman"/>
            <w:u w:val="none"/>
            <w:lang w:val="en-US"/>
          </w:rPr>
          <w:t>gov</w:t>
        </w:r>
        <w:r>
          <w:rPr>
            <w:rStyle w:val="Hyperlink"/>
            <w:rFonts w:cs="Times New Roman" w:ascii="Times New Roman" w:hAnsi="Times New Roman"/>
            <w:u w:val="none"/>
          </w:rPr>
          <w:t>.</w:t>
        </w:r>
        <w:r>
          <w:rPr>
            <w:rStyle w:val="Hyperlink"/>
            <w:rFonts w:cs="Times New Roman" w:ascii="Times New Roman" w:hAnsi="Times New Roman"/>
            <w:u w:val="none"/>
            <w:lang w:val="en-US"/>
          </w:rPr>
          <w:t>ru</w:t>
        </w:r>
      </w:hyperlink>
      <w:r>
        <w:rPr>
          <w:rStyle w:val="Hyperlink"/>
          <w:rFonts w:cs="Times New Roman" w:ascii="Times New Roman" w:hAnsi="Times New Roman"/>
        </w:rPr>
        <w:t>.</w:t>
      </w:r>
      <w:bookmarkEnd w:id="6"/>
    </w:p>
    <w:p>
      <w:pPr>
        <w:pStyle w:val="Normal"/>
        <w:tabs>
          <w:tab w:val="clear" w:pos="708"/>
          <w:tab w:val="left" w:pos="0" w:leader="none"/>
        </w:tabs>
        <w:spacing w:lineRule="auto" w:line="312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9. Место и срок подведения итогов аукциона</w:t>
      </w:r>
      <w:r>
        <w:rPr>
          <w:rFonts w:cs="Times New Roman" w:ascii="Times New Roman" w:hAnsi="Times New Roman"/>
          <w:b/>
          <w:lang w:val="ru-RU"/>
        </w:rPr>
        <w:t xml:space="preserve"> -</w:t>
      </w:r>
      <w:r>
        <w:rPr>
          <w:rFonts w:cs="Times New Roman" w:ascii="Times New Roman" w:hAnsi="Times New Roman"/>
          <w:b/>
        </w:rPr>
        <w:t xml:space="preserve"> 21</w:t>
      </w:r>
      <w:r>
        <w:rPr>
          <w:rFonts w:cs="Times New Roman" w:ascii="Times New Roman" w:hAnsi="Times New Roman"/>
          <w:b/>
          <w:lang w:val="en-US"/>
        </w:rPr>
        <w:t>.03.2025</w:t>
      </w:r>
      <w:r>
        <w:rPr>
          <w:rFonts w:cs="Times New Roman" w:ascii="Times New Roman" w:hAnsi="Times New Roman"/>
          <w:b/>
          <w:lang w:val="ru-RU"/>
        </w:rPr>
        <w:t xml:space="preserve"> в 10</w:t>
      </w:r>
      <w:r>
        <w:rPr>
          <w:rFonts w:cs="Times New Roman" w:ascii="Times New Roman" w:hAnsi="Times New Roman"/>
          <w:b/>
          <w:lang w:val="en-US"/>
        </w:rPr>
        <w:t>:</w:t>
      </w:r>
      <w:r>
        <w:rPr>
          <w:rFonts w:cs="Times New Roman" w:ascii="Times New Roman" w:hAnsi="Times New Roman"/>
          <w:b/>
          <w:lang w:val="ru-RU"/>
        </w:rPr>
        <w:t xml:space="preserve">00 (местное время) </w:t>
      </w:r>
      <w:r>
        <w:rPr>
          <w:rFonts w:cs="Times New Roman" w:ascii="Times New Roman" w:hAnsi="Times New Roman"/>
        </w:rPr>
        <w:t xml:space="preserve"> </w:t>
      </w:r>
      <w:bookmarkStart w:id="7" w:name="_Hlk136264674"/>
      <w:r>
        <w:rPr>
          <w:rFonts w:cs="Times New Roman" w:ascii="Times New Roman" w:hAnsi="Times New Roman"/>
        </w:rPr>
        <w:t xml:space="preserve">электронная торговая площадка АО </w:t>
      </w:r>
      <w:bookmarkEnd w:id="7"/>
      <w:r>
        <w:rPr>
          <w:rFonts w:cs="Times New Roman" w:ascii="Times New Roman" w:hAnsi="Times New Roman"/>
        </w:rPr>
        <w:t xml:space="preserve">«Российский аукционный дом», </w:t>
      </w:r>
      <w:hyperlink r:id="rId14">
        <w:r>
          <w:rPr>
            <w:rStyle w:val="Hyperlink"/>
            <w:rFonts w:cs="Times New Roman" w:ascii="Times New Roman" w:hAnsi="Times New Roman"/>
            <w:u w:val="none"/>
            <w:lang w:val="en-US"/>
          </w:rPr>
          <w:t>http</w:t>
        </w:r>
        <w:r>
          <w:rPr>
            <w:rStyle w:val="Hyperlink"/>
            <w:rFonts w:cs="Times New Roman" w:ascii="Times New Roman" w:hAnsi="Times New Roman"/>
            <w:u w:val="none"/>
          </w:rPr>
          <w:t>://</w:t>
        </w:r>
        <w:r>
          <w:rPr>
            <w:rStyle w:val="Hyperlink"/>
            <w:rFonts w:cs="Times New Roman" w:ascii="Times New Roman" w:hAnsi="Times New Roman"/>
            <w:u w:val="none"/>
            <w:lang w:val="en-US"/>
          </w:rPr>
          <w:t>www</w:t>
        </w:r>
        <w:r>
          <w:rPr>
            <w:rStyle w:val="Hyperlink"/>
            <w:rFonts w:cs="Times New Roman" w:ascii="Times New Roman" w:hAnsi="Times New Roman"/>
            <w:u w:val="none"/>
          </w:rPr>
          <w:t>.</w:t>
        </w:r>
        <w:r>
          <w:rPr>
            <w:rStyle w:val="Hyperlink"/>
            <w:rFonts w:cs="Times New Roman" w:ascii="Times New Roman" w:hAnsi="Times New Roman"/>
            <w:u w:val="none"/>
            <w:lang w:val="en-US"/>
          </w:rPr>
          <w:t>l</w:t>
        </w:r>
      </w:hyperlink>
      <w:r>
        <w:rPr>
          <w:rStyle w:val="Hyperlink"/>
          <w:rFonts w:cs="Times New Roman" w:ascii="Times New Roman" w:hAnsi="Times New Roman"/>
          <w:u w:val="none"/>
          <w:lang w:val="en-US"/>
        </w:rPr>
        <w:t>ot</w:t>
      </w:r>
      <w:r>
        <w:rPr>
          <w:rStyle w:val="Hyperlink"/>
          <w:rFonts w:cs="Times New Roman" w:ascii="Times New Roman" w:hAnsi="Times New Roman"/>
          <w:u w:val="none"/>
        </w:rPr>
        <w:t>-</w:t>
      </w:r>
      <w:r>
        <w:rPr>
          <w:rStyle w:val="Hyperlink"/>
          <w:rFonts w:cs="Times New Roman" w:ascii="Times New Roman" w:hAnsi="Times New Roman"/>
          <w:u w:val="none"/>
          <w:lang w:val="en-US"/>
        </w:rPr>
        <w:t>online</w:t>
      </w:r>
      <w:r>
        <w:rPr>
          <w:rStyle w:val="Hyperlink"/>
          <w:rFonts w:cs="Times New Roman" w:ascii="Times New Roman" w:hAnsi="Times New Roman"/>
          <w:u w:val="none"/>
        </w:rPr>
        <w:t>.</w:t>
      </w:r>
      <w:r>
        <w:rPr>
          <w:rStyle w:val="Hyperlink"/>
          <w:rFonts w:cs="Times New Roman" w:ascii="Times New Roman" w:hAnsi="Times New Roman"/>
          <w:u w:val="none"/>
          <w:lang w:val="en-US"/>
        </w:rPr>
        <w:t>ru</w:t>
      </w:r>
      <w:r>
        <w:rPr>
          <w:rFonts w:cs="Times New Roman" w:ascii="Times New Roman" w:hAnsi="Times New Roman"/>
        </w:rPr>
        <w:t xml:space="preserve">, через официальный сайт торгов: </w:t>
      </w:r>
      <w:hyperlink r:id="rId15">
        <w:r>
          <w:rPr>
            <w:rStyle w:val="Hyperlink"/>
            <w:rFonts w:cs="Times New Roman" w:ascii="Times New Roman" w:hAnsi="Times New Roman"/>
            <w:u w:val="none"/>
            <w:lang w:val="en-US"/>
          </w:rPr>
          <w:t>www</w:t>
        </w:r>
        <w:r>
          <w:rPr>
            <w:rStyle w:val="Hyperlink"/>
            <w:rFonts w:cs="Times New Roman" w:ascii="Times New Roman" w:hAnsi="Times New Roman"/>
            <w:u w:val="none"/>
          </w:rPr>
          <w:t>.</w:t>
        </w:r>
        <w:r>
          <w:rPr>
            <w:rStyle w:val="Hyperlink"/>
            <w:rFonts w:cs="Times New Roman" w:ascii="Times New Roman" w:hAnsi="Times New Roman"/>
            <w:u w:val="none"/>
            <w:lang w:val="en-US"/>
          </w:rPr>
          <w:t>torgi</w:t>
        </w:r>
        <w:r>
          <w:rPr>
            <w:rStyle w:val="Hyperlink"/>
            <w:rFonts w:cs="Times New Roman" w:ascii="Times New Roman" w:hAnsi="Times New Roman"/>
            <w:u w:val="none"/>
          </w:rPr>
          <w:t>.</w:t>
        </w:r>
        <w:r>
          <w:rPr>
            <w:rStyle w:val="Hyperlink"/>
            <w:rFonts w:cs="Times New Roman" w:ascii="Times New Roman" w:hAnsi="Times New Roman"/>
            <w:u w:val="none"/>
            <w:lang w:val="en-US"/>
          </w:rPr>
          <w:t>gov</w:t>
        </w:r>
        <w:r>
          <w:rPr>
            <w:rStyle w:val="Hyperlink"/>
            <w:rFonts w:cs="Times New Roman" w:ascii="Times New Roman" w:hAnsi="Times New Roman"/>
            <w:u w:val="none"/>
          </w:rPr>
          <w:t>.</w:t>
        </w:r>
        <w:r>
          <w:rPr>
            <w:rStyle w:val="Hyperlink"/>
            <w:rFonts w:cs="Times New Roman" w:ascii="Times New Roman" w:hAnsi="Times New Roman"/>
            <w:u w:val="none"/>
            <w:lang w:val="en-US"/>
          </w:rPr>
          <w:t>ru</w:t>
        </w:r>
      </w:hyperlink>
      <w:r>
        <w:rPr>
          <w:rStyle w:val="Hyperlink"/>
          <w:rFonts w:cs="Times New Roman" w:ascii="Times New Roman" w:hAnsi="Times New Roman"/>
        </w:rPr>
        <w:t>.</w:t>
      </w:r>
      <w:r>
        <w:rPr>
          <w:rFonts w:cs="Times New Roman" w:ascii="Times New Roman" w:hAnsi="Times New Roman"/>
        </w:rPr>
        <w:t xml:space="preserve"> В день проведения аукциона. </w:t>
      </w:r>
    </w:p>
    <w:p>
      <w:pPr>
        <w:pStyle w:val="Normal"/>
        <w:tabs>
          <w:tab w:val="clear" w:pos="708"/>
          <w:tab w:val="left" w:pos="0" w:leader="none"/>
        </w:tabs>
        <w:spacing w:lineRule="auto" w:line="312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Документация об аукционе размещается на официальном сайте торгов - </w:t>
      </w:r>
      <w:hyperlink r:id="rId16">
        <w:r>
          <w:rPr>
            <w:rStyle w:val="Hyperlink"/>
            <w:rFonts w:cs="Times New Roman" w:ascii="Times New Roman" w:hAnsi="Times New Roman"/>
            <w:u w:val="none"/>
          </w:rPr>
          <w:t>www.torgi.gov.ru</w:t>
        </w:r>
      </w:hyperlink>
      <w:r>
        <w:rPr>
          <w:rFonts w:cs="Times New Roman" w:ascii="Times New Roman" w:hAnsi="Times New Roman"/>
        </w:rPr>
        <w:t xml:space="preserve">, на электронной торговой площадке АО «Российский аукционный дом», </w:t>
      </w:r>
      <w:hyperlink r:id="rId17">
        <w:r>
          <w:rPr>
            <w:rStyle w:val="Hyperlink"/>
            <w:rFonts w:cs="Times New Roman" w:ascii="Times New Roman" w:hAnsi="Times New Roman"/>
            <w:u w:val="none"/>
            <w:lang w:val="en-US"/>
          </w:rPr>
          <w:t>http</w:t>
        </w:r>
        <w:r>
          <w:rPr>
            <w:rStyle w:val="Hyperlink"/>
            <w:rFonts w:cs="Times New Roman" w:ascii="Times New Roman" w:hAnsi="Times New Roman"/>
            <w:u w:val="none"/>
          </w:rPr>
          <w:t>://</w:t>
        </w:r>
        <w:r>
          <w:rPr>
            <w:rStyle w:val="Hyperlink"/>
            <w:rFonts w:cs="Times New Roman" w:ascii="Times New Roman" w:hAnsi="Times New Roman"/>
            <w:u w:val="none"/>
            <w:lang w:val="en-US"/>
          </w:rPr>
          <w:t>www</w:t>
        </w:r>
        <w:r>
          <w:rPr>
            <w:rStyle w:val="Hyperlink"/>
            <w:rFonts w:cs="Times New Roman" w:ascii="Times New Roman" w:hAnsi="Times New Roman"/>
            <w:u w:val="none"/>
          </w:rPr>
          <w:t>.</w:t>
        </w:r>
        <w:r>
          <w:rPr>
            <w:rStyle w:val="Hyperlink"/>
            <w:rFonts w:cs="Times New Roman" w:ascii="Times New Roman" w:hAnsi="Times New Roman"/>
            <w:u w:val="none"/>
            <w:lang w:val="en-US"/>
          </w:rPr>
          <w:t>l</w:t>
        </w:r>
      </w:hyperlink>
      <w:r>
        <w:rPr>
          <w:rStyle w:val="Hyperlink"/>
          <w:rFonts w:cs="Times New Roman" w:ascii="Times New Roman" w:hAnsi="Times New Roman"/>
          <w:u w:val="none"/>
          <w:lang w:val="en-US"/>
        </w:rPr>
        <w:t>ot</w:t>
      </w:r>
      <w:r>
        <w:rPr>
          <w:rStyle w:val="Hyperlink"/>
          <w:rFonts w:cs="Times New Roman" w:ascii="Times New Roman" w:hAnsi="Times New Roman"/>
          <w:u w:val="none"/>
        </w:rPr>
        <w:t>-</w:t>
      </w:r>
      <w:r>
        <w:rPr>
          <w:rStyle w:val="Hyperlink"/>
          <w:rFonts w:cs="Times New Roman" w:ascii="Times New Roman" w:hAnsi="Times New Roman"/>
          <w:u w:val="none"/>
          <w:lang w:val="en-US"/>
        </w:rPr>
        <w:t>online</w:t>
      </w:r>
      <w:r>
        <w:rPr>
          <w:rStyle w:val="Hyperlink"/>
          <w:rFonts w:cs="Times New Roman" w:ascii="Times New Roman" w:hAnsi="Times New Roman"/>
          <w:u w:val="none"/>
        </w:rPr>
        <w:t>.</w:t>
      </w:r>
      <w:r>
        <w:rPr>
          <w:rStyle w:val="Hyperlink"/>
          <w:rFonts w:cs="Times New Roman" w:ascii="Times New Roman" w:hAnsi="Times New Roman"/>
          <w:u w:val="none"/>
          <w:lang w:val="en-US"/>
        </w:rPr>
        <w:t>ru</w:t>
      </w:r>
      <w:r>
        <w:rPr>
          <w:rFonts w:cs="Times New Roman" w:ascii="Times New Roman" w:hAnsi="Times New Roman"/>
        </w:rPr>
        <w:t xml:space="preserve"> и доступна для ознакомления без взимания платы. </w:t>
      </w:r>
    </w:p>
    <w:p>
      <w:pPr>
        <w:pStyle w:val="Normal"/>
        <w:tabs>
          <w:tab w:val="clear" w:pos="708"/>
          <w:tab w:val="left" w:pos="0" w:leader="none"/>
        </w:tabs>
        <w:spacing w:lineRule="auto" w:line="312"/>
        <w:jc w:val="both"/>
        <w:rPr>
          <w:rFonts w:ascii="Times New Roman" w:hAnsi="Times New Roman" w:cs="Times New Roman"/>
          <w:b/>
          <w:color w:val="000000"/>
          <w:lang w:val="en-US"/>
        </w:rPr>
      </w:pPr>
      <w:r>
        <w:rPr>
          <w:rFonts w:cs="Times New Roman" w:ascii="Times New Roman" w:hAnsi="Times New Roman"/>
          <w:b/>
          <w:color w:val="000000"/>
          <w:lang w:val="en-US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312"/>
        <w:jc w:val="both"/>
        <w:rPr>
          <w:rFonts w:ascii="Times New Roman" w:hAnsi="Times New Roman" w:cs="Times New Roman"/>
          <w:b/>
          <w:color w:val="000000"/>
          <w:lang w:val="en-US"/>
        </w:rPr>
      </w:pPr>
      <w:r>
        <w:rPr>
          <w:rFonts w:cs="Times New Roman" w:ascii="Times New Roman" w:hAnsi="Times New Roman"/>
          <w:b/>
          <w:color w:val="000000"/>
          <w:lang w:val="en-US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312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cs="Times New Roman" w:ascii="Times New Roman" w:hAnsi="Times New Roman"/>
          <w:b/>
          <w:color w:val="000000"/>
          <w:lang w:val="en-US"/>
        </w:rPr>
        <w:t>II</w:t>
      </w:r>
      <w:r>
        <w:rPr>
          <w:rFonts w:cs="Times New Roman" w:ascii="Times New Roman" w:hAnsi="Times New Roman"/>
          <w:b/>
          <w:color w:val="000000"/>
        </w:rPr>
        <w:t xml:space="preserve"> Сведения о земельном участке, право заключения договора аренды, которого выставляется на электронный аукцион</w:t>
      </w:r>
    </w:p>
    <w:p>
      <w:pPr>
        <w:pStyle w:val="Normal"/>
        <w:tabs>
          <w:tab w:val="clear" w:pos="708"/>
          <w:tab w:val="left" w:pos="0" w:leader="none"/>
        </w:tabs>
        <w:spacing w:lineRule="auto" w:line="24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</w:r>
    </w:p>
    <w:tbl>
      <w:tblPr>
        <w:tblStyle w:val="21"/>
        <w:tblW w:w="974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8"/>
        <w:gridCol w:w="6648"/>
      </w:tblGrid>
      <w:tr>
        <w:trPr>
          <w:trHeight w:val="312" w:hRule="atLeast"/>
        </w:trPr>
        <w:tc>
          <w:tcPr>
            <w:tcW w:w="3098" w:type="dxa"/>
            <w:tcBorders/>
          </w:tcPr>
          <w:p>
            <w:pPr>
              <w:pStyle w:val="BodyText"/>
              <w:widowControl/>
              <w:spacing w:before="0" w:after="14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themeColor="text1" w:themeTint="a6" w:val="auto"/>
                <w:sz w:val="20"/>
                <w:szCs w:val="20"/>
              </w:rPr>
              <w:t>Объект аукциона</w:t>
            </w:r>
          </w:p>
        </w:tc>
        <w:tc>
          <w:tcPr>
            <w:tcW w:w="6648" w:type="dxa"/>
            <w:tcBorders/>
          </w:tcPr>
          <w:p>
            <w:pPr>
              <w:pStyle w:val="Style13"/>
              <w:widowControl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SimSun" w:cs="Times New Roman" w:ascii="Times New Roman" w:hAnsi="Times New Roman"/>
                <w:b/>
                <w:bCs/>
                <w:color w:themeColor="text1" w:themeTint="a6" w:val="595959"/>
                <w:kern w:val="0"/>
                <w:sz w:val="20"/>
                <w:szCs w:val="20"/>
              </w:rPr>
              <w:t>Лот №1</w:t>
            </w:r>
          </w:p>
        </w:tc>
      </w:tr>
      <w:tr>
        <w:trPr>
          <w:trHeight w:val="536" w:hRule="atLeast"/>
        </w:trPr>
        <w:tc>
          <w:tcPr>
            <w:tcW w:w="3098" w:type="dxa"/>
            <w:tcBorders/>
          </w:tcPr>
          <w:p>
            <w:pPr>
              <w:pStyle w:val="Normal"/>
              <w:widowControl/>
              <w:spacing w:before="0" w:after="0"/>
              <w:ind w:firstLine="33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themeColor="text1" w:themeTint="a6" w:val="auto"/>
                <w:sz w:val="20"/>
                <w:szCs w:val="20"/>
              </w:rPr>
              <w:t>Местоположение земельного участка</w:t>
            </w:r>
          </w:p>
        </w:tc>
        <w:tc>
          <w:tcPr>
            <w:tcW w:w="664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color w:themeColor="text1" w:themeTint="a6" w:val="auto"/>
                <w:sz w:val="20"/>
                <w:szCs w:val="20"/>
              </w:rPr>
              <w:t>Местоположение установлено относительно ориентира, расположенного за пределами участка.</w:t>
            </w:r>
            <w:r>
              <w:rPr>
                <w:rFonts w:eastAsia="Times New Roman" w:ascii="Times New Roman" w:hAnsi="Times New Roman"/>
                <w:b w:val="false"/>
                <w:bCs w:val="false"/>
                <w:color w:themeColor="text1" w:themeTint="a6" w:val="auto"/>
                <w:sz w:val="20"/>
                <w:szCs w:val="20"/>
                <w:lang w:val="ru-RU"/>
              </w:rPr>
              <w:t xml:space="preserve"> Ориентир жилой дом.</w:t>
            </w:r>
            <w:r>
              <w:rPr>
                <w:rFonts w:eastAsia="Times New Roman" w:ascii="Times New Roman" w:hAnsi="Times New Roman"/>
                <w:b w:val="false"/>
                <w:bCs w:val="false"/>
                <w:color w:themeColor="text1" w:themeTint="a6" w:val="auto"/>
                <w:sz w:val="20"/>
                <w:szCs w:val="20"/>
              </w:rPr>
              <w:t xml:space="preserve"> Участок находится примерно в 2 м</w:t>
            </w:r>
            <w:r>
              <w:rPr>
                <w:rFonts w:eastAsia="Times New Roman" w:ascii="Times New Roman" w:hAnsi="Times New Roman"/>
                <w:b w:val="false"/>
                <w:bCs w:val="false"/>
                <w:color w:themeColor="text1" w:themeTint="a6" w:val="auto"/>
                <w:sz w:val="20"/>
                <w:szCs w:val="20"/>
                <w:lang w:val="ru-RU"/>
              </w:rPr>
              <w:t>.,</w:t>
            </w:r>
            <w:r>
              <w:rPr>
                <w:rFonts w:eastAsia="Times New Roman" w:ascii="Times New Roman" w:hAnsi="Times New Roman"/>
                <w:b w:val="false"/>
                <w:bCs w:val="false"/>
                <w:color w:themeColor="text1" w:themeTint="a6" w:val="auto"/>
                <w:sz w:val="20"/>
                <w:szCs w:val="20"/>
              </w:rPr>
              <w:t xml:space="preserve"> по направлению на </w:t>
            </w:r>
            <w:r>
              <w:rPr>
                <w:rFonts w:eastAsia="Times New Roman" w:ascii="Times New Roman" w:hAnsi="Times New Roman"/>
                <w:b w:val="false"/>
                <w:bCs w:val="false"/>
                <w:color w:themeColor="text1" w:themeTint="a6" w:val="auto"/>
                <w:sz w:val="20"/>
                <w:szCs w:val="20"/>
                <w:lang w:val="ru-RU"/>
              </w:rPr>
              <w:t>юг от ориентира</w:t>
            </w:r>
            <w:r>
              <w:rPr>
                <w:rFonts w:eastAsia="Times New Roman" w:ascii="Times New Roman" w:hAnsi="Times New Roman"/>
                <w:b w:val="false"/>
                <w:bCs w:val="false"/>
                <w:color w:themeColor="text1" w:themeTint="a6" w:val="auto"/>
                <w:sz w:val="20"/>
                <w:szCs w:val="20"/>
              </w:rPr>
              <w:t>. Почтовый адрес ориентира: Приморский край, Анучинский район, с. Анучино,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color w:themeColor="text1" w:themeTint="a6" w:val="auto"/>
                <w:sz w:val="20"/>
                <w:szCs w:val="20"/>
              </w:rPr>
              <w:t xml:space="preserve"> </w:t>
            </w:r>
            <w:r>
              <w:rPr>
                <w:rFonts w:eastAsia="Times New Roman" w:ascii="Times New Roman" w:hAnsi="Times New Roman"/>
                <w:b w:val="false"/>
                <w:bCs w:val="false"/>
                <w:color w:themeColor="text1" w:themeTint="a6" w:val="auto"/>
                <w:sz w:val="20"/>
                <w:szCs w:val="20"/>
              </w:rPr>
              <w:t>ул.</w:t>
            </w:r>
            <w:r>
              <w:rPr>
                <w:rFonts w:eastAsia="Times New Roman" w:ascii="Times New Roman" w:hAnsi="Times New Roman"/>
                <w:b w:val="false"/>
                <w:bCs w:val="false"/>
                <w:color w:themeColor="text1" w:themeTint="a6" w:val="auto"/>
                <w:sz w:val="20"/>
                <w:szCs w:val="20"/>
                <w:lang w:val="ru-RU"/>
              </w:rPr>
              <w:t>Лазо, 16.</w:t>
            </w:r>
          </w:p>
        </w:tc>
      </w:tr>
      <w:tr>
        <w:trPr>
          <w:trHeight w:val="173" w:hRule="atLeast"/>
        </w:trPr>
        <w:tc>
          <w:tcPr>
            <w:tcW w:w="309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themeColor="text1" w:themeTint="a6" w:val="auto"/>
                <w:sz w:val="20"/>
                <w:szCs w:val="20"/>
              </w:rPr>
              <w:t>Площадь (кв.м)</w:t>
            </w:r>
          </w:p>
        </w:tc>
        <w:tc>
          <w:tcPr>
            <w:tcW w:w="6648" w:type="dxa"/>
            <w:tcBorders/>
          </w:tcPr>
          <w:p>
            <w:pPr>
              <w:pStyle w:val="Style13"/>
              <w:widowControl/>
              <w:snapToGrid w:val="false"/>
              <w:spacing w:before="0" w:after="0"/>
              <w:jc w:val="left"/>
              <w:rPr>
                <w:color w:val="000000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>455</w:t>
            </w:r>
          </w:p>
        </w:tc>
      </w:tr>
      <w:tr>
        <w:trPr>
          <w:trHeight w:val="180" w:hRule="atLeast"/>
        </w:trPr>
        <w:tc>
          <w:tcPr>
            <w:tcW w:w="309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themeColor="text1" w:themeTint="a6" w:val="auto"/>
                <w:sz w:val="20"/>
                <w:szCs w:val="20"/>
              </w:rPr>
              <w:t>Кадастровый номер</w:t>
            </w:r>
          </w:p>
        </w:tc>
        <w:tc>
          <w:tcPr>
            <w:tcW w:w="6648" w:type="dxa"/>
            <w:tcBorders/>
          </w:tcPr>
          <w:p>
            <w:pPr>
              <w:pStyle w:val="Style13"/>
              <w:widowControl/>
              <w:snapToGrid w:val="false"/>
              <w:spacing w:before="0" w:after="0"/>
              <w:jc w:val="left"/>
              <w:rPr>
                <w:color w:val="000000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0"/>
                <w:sz w:val="20"/>
                <w:szCs w:val="20"/>
              </w:rPr>
              <w:t>25:01:</w:t>
            </w:r>
            <w:r>
              <w:rPr>
                <w:rFonts w:eastAsia="SimSun" w:cs="Times New Roman"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>15</w:t>
            </w:r>
            <w:r>
              <w:rPr>
                <w:rFonts w:eastAsia="SimSun" w:cs="Times New Roman" w:ascii="Times New Roman" w:hAnsi="Times New Roman"/>
                <w:color w:val="000000"/>
                <w:kern w:val="0"/>
                <w:sz w:val="20"/>
                <w:szCs w:val="20"/>
              </w:rPr>
              <w:t>0001:</w:t>
            </w:r>
            <w:r>
              <w:rPr>
                <w:rFonts w:eastAsia="SimSun" w:cs="Times New Roman"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>4898</w:t>
            </w:r>
          </w:p>
        </w:tc>
      </w:tr>
      <w:tr>
        <w:trPr>
          <w:trHeight w:val="173" w:hRule="atLeast"/>
        </w:trPr>
        <w:tc>
          <w:tcPr>
            <w:tcW w:w="309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themeColor="text1" w:themeTint="a6" w:val="auto"/>
                <w:sz w:val="20"/>
                <w:szCs w:val="20"/>
              </w:rPr>
              <w:t>Категория земель</w:t>
            </w:r>
          </w:p>
        </w:tc>
        <w:tc>
          <w:tcPr>
            <w:tcW w:w="6648" w:type="dxa"/>
            <w:tcBorders/>
          </w:tcPr>
          <w:p>
            <w:pPr>
              <w:pStyle w:val="Style13"/>
              <w:widowControl/>
              <w:snapToGrid w:val="false"/>
              <w:spacing w:before="0" w:after="0"/>
              <w:jc w:val="left"/>
              <w:rPr>
                <w:color w:val="000000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Земли </w:t>
            </w:r>
            <w:r>
              <w:rPr>
                <w:rFonts w:eastAsia="SimSun" w:cs="Times New Roman"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>населённых</w:t>
            </w:r>
            <w:r>
              <w:rPr>
                <w:rFonts w:eastAsia="SimSun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 пунктов</w:t>
            </w:r>
          </w:p>
        </w:tc>
      </w:tr>
      <w:tr>
        <w:trPr>
          <w:trHeight w:val="180" w:hRule="atLeast"/>
        </w:trPr>
        <w:tc>
          <w:tcPr>
            <w:tcW w:w="309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themeColor="text1" w:themeTint="a6" w:val="auto"/>
                <w:sz w:val="20"/>
                <w:szCs w:val="20"/>
              </w:rPr>
              <w:t>Разрешенное использование</w:t>
            </w:r>
          </w:p>
        </w:tc>
        <w:tc>
          <w:tcPr>
            <w:tcW w:w="6648" w:type="dxa"/>
            <w:tcBorders/>
          </w:tcPr>
          <w:p>
            <w:pPr>
              <w:pStyle w:val="Style13"/>
              <w:widowControl/>
              <w:snapToGrid w:val="false"/>
              <w:spacing w:before="0" w:after="0"/>
              <w:jc w:val="left"/>
              <w:rPr>
                <w:color w:val="000000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>Предпринимательство</w:t>
            </w:r>
          </w:p>
        </w:tc>
      </w:tr>
      <w:tr>
        <w:trPr>
          <w:trHeight w:val="180" w:hRule="atLeast"/>
        </w:trPr>
        <w:tc>
          <w:tcPr>
            <w:tcW w:w="309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themeColor="text1" w:themeTint="a6" w:val="auto"/>
                <w:sz w:val="20"/>
                <w:szCs w:val="20"/>
              </w:rPr>
              <w:t>Срок аренды</w:t>
            </w:r>
          </w:p>
        </w:tc>
        <w:tc>
          <w:tcPr>
            <w:tcW w:w="6648" w:type="dxa"/>
            <w:tcBorders/>
          </w:tcPr>
          <w:p>
            <w:pPr>
              <w:pStyle w:val="Style13"/>
              <w:widowControl/>
              <w:snapToGrid w:val="false"/>
              <w:spacing w:before="0" w:after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0"/>
                <w:szCs w:val="20"/>
              </w:rPr>
              <w:t>20 лет</w:t>
            </w:r>
          </w:p>
        </w:tc>
      </w:tr>
      <w:tr>
        <w:trPr>
          <w:trHeight w:val="353" w:hRule="atLeast"/>
        </w:trPr>
        <w:tc>
          <w:tcPr>
            <w:tcW w:w="309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themeColor="text1" w:themeTint="a6" w:val="auto"/>
                <w:sz w:val="20"/>
                <w:szCs w:val="20"/>
              </w:rPr>
              <w:t>Сведения о правах</w:t>
            </w:r>
          </w:p>
        </w:tc>
        <w:tc>
          <w:tcPr>
            <w:tcW w:w="664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themeColor="text1" w:themeTint="a6" w:val="auto"/>
                <w:sz w:val="20"/>
                <w:szCs w:val="20"/>
              </w:rPr>
              <w:t>Право государственной собственности на земельный участок не разграничено</w:t>
            </w:r>
          </w:p>
        </w:tc>
      </w:tr>
      <w:tr>
        <w:trPr>
          <w:trHeight w:val="353" w:hRule="atLeast"/>
        </w:trPr>
        <w:tc>
          <w:tcPr>
            <w:tcW w:w="309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themeColor="text1" w:themeTint="a6" w:val="auto"/>
                <w:sz w:val="20"/>
                <w:szCs w:val="20"/>
              </w:rPr>
              <w:t>Обременение правами третьих лиц и ограничения в использовании</w:t>
            </w:r>
          </w:p>
        </w:tc>
        <w:tc>
          <w:tcPr>
            <w:tcW w:w="664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eastAsia="Arial Cyr" w:cs="Times New Roman" w:ascii="Times New Roman" w:hAnsi="Times New Roman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ru-RU" w:eastAsia="zh-CN" w:bidi="ar-SA"/>
              </w:rPr>
              <w:t>О</w:t>
            </w:r>
            <w:r>
              <w:rPr>
                <w:rFonts w:eastAsia="Arial Cyr" w:cs="Times New Roman" w:ascii="Times New Roman" w:hAnsi="Times New Roman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граничения прав на земельный участок, предусмотренные статьей 56</w:t>
              <w:br/>
              <w:t>Земельного кодекса Российской Федерации</w:t>
            </w:r>
          </w:p>
        </w:tc>
      </w:tr>
      <w:tr>
        <w:trPr>
          <w:trHeight w:val="353" w:hRule="atLeast"/>
        </w:trPr>
        <w:tc>
          <w:tcPr>
            <w:tcW w:w="309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themeColor="text1" w:themeTint="a6" w:val="auto"/>
                <w:sz w:val="20"/>
                <w:szCs w:val="20"/>
              </w:rPr>
              <w:t>Начальная цена предмета аукциона (размер ежегодной арендной платы</w:t>
            </w:r>
            <w:r>
              <w:rPr>
                <w:rFonts w:cs="Times New Roman" w:ascii="Times New Roman" w:hAnsi="Times New Roman"/>
                <w:color w:themeColor="text1" w:themeTint="a6" w:val="auto"/>
                <w:sz w:val="20"/>
                <w:szCs w:val="20"/>
                <w:lang w:val="ru-RU"/>
              </w:rPr>
              <w:t>)</w:t>
            </w:r>
          </w:p>
        </w:tc>
        <w:tc>
          <w:tcPr>
            <w:tcW w:w="6648" w:type="dxa"/>
            <w:tcBorders/>
          </w:tcPr>
          <w:p>
            <w:pPr>
              <w:pStyle w:val="Normal"/>
              <w:widowControl/>
              <w:snapToGrid w:val="false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themeColor="text1" w:themeTint="a6" w:val="auto"/>
                <w:kern w:val="0"/>
                <w:sz w:val="20"/>
                <w:szCs w:val="20"/>
                <w:lang w:val="en-US" w:eastAsia="ru-RU" w:bidi="ar-SA"/>
              </w:rPr>
              <w:t>7 127.23</w:t>
            </w:r>
            <w:r>
              <w:rPr>
                <w:rFonts w:eastAsia="Times New Roman" w:cs="Times New Roman" w:ascii="Times New Roman" w:hAnsi="Times New Roman"/>
                <w:color w:themeColor="text1" w:themeTint="a6" w:val="auto"/>
                <w:kern w:val="0"/>
                <w:sz w:val="20"/>
                <w:szCs w:val="20"/>
                <w:lang w:eastAsia="ru-RU" w:bidi="ar-SA"/>
              </w:rPr>
              <w:t xml:space="preserve"> руб.</w:t>
            </w:r>
          </w:p>
        </w:tc>
      </w:tr>
      <w:tr>
        <w:trPr>
          <w:trHeight w:val="173" w:hRule="atLeast"/>
        </w:trPr>
        <w:tc>
          <w:tcPr>
            <w:tcW w:w="309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themeColor="text1" w:themeTint="a6" w:val="auto"/>
                <w:sz w:val="20"/>
                <w:szCs w:val="20"/>
              </w:rPr>
              <w:t>Сумма задатка  (руб.)</w:t>
            </w:r>
          </w:p>
        </w:tc>
        <w:tc>
          <w:tcPr>
            <w:tcW w:w="6648" w:type="dxa"/>
            <w:tcBorders/>
          </w:tcPr>
          <w:p>
            <w:pPr>
              <w:pStyle w:val="Normal"/>
              <w:widowControl/>
              <w:snapToGrid w:val="false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themeColor="text1" w:themeTint="a6" w:val="auto"/>
                <w:kern w:val="0"/>
                <w:sz w:val="20"/>
                <w:szCs w:val="20"/>
                <w:lang w:val="en-US" w:eastAsia="ru-RU" w:bidi="ar-SA"/>
              </w:rPr>
              <w:t>1425.44</w:t>
            </w:r>
            <w:r>
              <w:rPr>
                <w:color w:themeColor="text1" w:themeTint="a6" w:val="auto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color w:themeColor="text1" w:themeTint="a6" w:val="auto"/>
                <w:sz w:val="20"/>
                <w:szCs w:val="20"/>
              </w:rPr>
              <w:t>руб.</w:t>
            </w:r>
          </w:p>
        </w:tc>
      </w:tr>
      <w:tr>
        <w:trPr>
          <w:trHeight w:val="180" w:hRule="atLeast"/>
        </w:trPr>
        <w:tc>
          <w:tcPr>
            <w:tcW w:w="309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themeColor="text1" w:themeTint="a6" w:val="auto"/>
                <w:sz w:val="20"/>
                <w:szCs w:val="20"/>
              </w:rPr>
              <w:t>Шаг аукциона (руб.)</w:t>
            </w:r>
          </w:p>
        </w:tc>
        <w:tc>
          <w:tcPr>
            <w:tcW w:w="6648" w:type="dxa"/>
            <w:tcBorders/>
          </w:tcPr>
          <w:p>
            <w:pPr>
              <w:pStyle w:val="Normal"/>
              <w:widowControl/>
              <w:snapToGrid w:val="false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themeColor="text1" w:themeTint="a6" w:val="auto"/>
                <w:sz w:val="20"/>
                <w:szCs w:val="20"/>
                <w:lang w:val="ru-RU"/>
              </w:rPr>
              <w:t>213.81 руб</w:t>
            </w:r>
          </w:p>
        </w:tc>
      </w:tr>
      <w:tr>
        <w:trPr>
          <w:trHeight w:val="552" w:hRule="atLeast"/>
        </w:trPr>
        <w:tc>
          <w:tcPr>
            <w:tcW w:w="309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themeColor="text1" w:themeTint="a6" w:val="auto"/>
                <w:sz w:val="20"/>
                <w:szCs w:val="20"/>
              </w:rPr>
              <w:t>Реквизиты решения о проведении аукциона</w:t>
            </w:r>
          </w:p>
        </w:tc>
        <w:tc>
          <w:tcPr>
            <w:tcW w:w="6648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themeColor="text1" w:themeTint="a6" w:val="auto"/>
                <w:sz w:val="20"/>
                <w:szCs w:val="20"/>
              </w:rPr>
              <w:t>Решение администрации Анучинского муниципального округа от</w:t>
            </w:r>
            <w:r>
              <w:rPr>
                <w:rFonts w:cs="Times New Roman" w:ascii="Times New Roman" w:hAnsi="Times New Roman"/>
                <w:color w:themeColor="text1" w:themeTint="a6" w:val="auto"/>
                <w:sz w:val="20"/>
                <w:szCs w:val="20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color w:themeColor="text1" w:themeTint="a6" w:val="auto"/>
                <w:sz w:val="20"/>
                <w:szCs w:val="20"/>
                <w:u w:val="single"/>
                <w:lang w:val="en-US"/>
              </w:rPr>
              <w:t xml:space="preserve"> 30.01.2025</w:t>
            </w:r>
            <w:r>
              <w:rPr>
                <w:rFonts w:cs="Times New Roman" w:ascii="Times New Roman" w:hAnsi="Times New Roman"/>
                <w:color w:themeColor="text1" w:themeTint="a6" w:val="auto"/>
                <w:sz w:val="20"/>
                <w:szCs w:val="20"/>
                <w:u w:val="single"/>
                <w:lang w:val="ru-RU"/>
              </w:rPr>
              <w:t>г</w:t>
            </w:r>
            <w:r>
              <w:rPr>
                <w:color w:themeColor="text1" w:val="000000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color w:themeColor="text1" w:val="00000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№ </w:t>
            </w:r>
            <w:r>
              <w:rPr>
                <w:color w:themeColor="text1" w:val="000000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69-</w:t>
            </w:r>
            <w:r>
              <w:rPr>
                <w:color w:themeColor="text1" w:val="000000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р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color w:themeColor="text1" w:themeTint="a6" w:val="auto"/>
                <w:sz w:val="20"/>
                <w:szCs w:val="20"/>
              </w:rPr>
              <w:t>«О проведении аукциона на право заключения договора аренды</w:t>
            </w:r>
            <w:r>
              <w:rPr>
                <w:color w:themeColor="text1" w:themeTint="a6" w:val="auto"/>
                <w:sz w:val="20"/>
                <w:szCs w:val="20"/>
                <w:lang w:val="ru-RU"/>
              </w:rPr>
              <w:t xml:space="preserve"> земельного участка в электронной форме и утверждени</w:t>
            </w:r>
            <w:r>
              <w:rPr>
                <w:color w:themeColor="text1" w:themeTint="a6" w:val="auto"/>
                <w:sz w:val="20"/>
                <w:szCs w:val="20"/>
                <w:lang w:val="ru-RU"/>
              </w:rPr>
              <w:t>и</w:t>
            </w:r>
            <w:r>
              <w:rPr>
                <w:color w:themeColor="text1" w:themeTint="a6" w:val="auto"/>
                <w:sz w:val="20"/>
                <w:szCs w:val="20"/>
                <w:lang w:val="ru-RU"/>
              </w:rPr>
              <w:t xml:space="preserve"> состава аукционной комиссии».</w:t>
            </w:r>
          </w:p>
        </w:tc>
      </w:tr>
      <w:tr>
        <w:trPr>
          <w:trHeight w:val="16" w:hRule="atLeast"/>
        </w:trPr>
        <w:tc>
          <w:tcPr>
            <w:tcW w:w="309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themeColor="text1" w:themeTint="a6" w:val="auto"/>
                <w:sz w:val="20"/>
                <w:szCs w:val="20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</w:t>
            </w:r>
            <w:bookmarkStart w:id="8" w:name="_GoBack"/>
            <w:bookmarkEnd w:id="8"/>
            <w:r>
              <w:rPr>
                <w:rFonts w:cs="Times New Roman" w:ascii="Times New Roman" w:hAnsi="Times New Roman"/>
                <w:color w:themeColor="text1" w:themeTint="a6" w:val="auto"/>
                <w:sz w:val="20"/>
                <w:szCs w:val="20"/>
              </w:rPr>
              <w:t>жения)</w:t>
            </w:r>
          </w:p>
        </w:tc>
        <w:tc>
          <w:tcPr>
            <w:tcW w:w="6648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themeColor="text1" w:themeTint="a6" w:val="auto"/>
                <w:sz w:val="20"/>
                <w:szCs w:val="20"/>
              </w:rPr>
              <w:t>В соответствии с  Постановлением Правительства РФ от 30.11.2021 N 2130 "Об утверждении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о внесении изменений в отдельные акты Правительства Российской Федерации и признании утратившими силу отдельных актов Правительства Российской Федерации и положений отдельных актов Правительства Российской Федерации" срок действия выдаваемых технических условий устанавливается исполнителем не менее чем на 3 года, а при комплексном развитии территории - не менее чем на 5 лет, если иное не предусмотрено законодательством Российской Федерации. В случае если в течение 12 календарных месяцев (при комплексном развитии территории в течение 36 календарных месяцев) со дня выдачи технических условий заявителем не будет подано заявление о подключении, срок действия технических условий прекращается.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themeColor="text1" w:themeTint="a6" w:val="auto"/>
                <w:sz w:val="20"/>
                <w:szCs w:val="20"/>
              </w:rPr>
              <w:t>В случае заключения договора о подключении технические условия, являющиеся приложением к такому договору, действуют до окончания срока действия такого договора.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themeColor="text1" w:themeTint="a6" w:val="auto"/>
                <w:sz w:val="20"/>
                <w:szCs w:val="20"/>
              </w:rPr>
              <w:t>При отсутствии технической возможности подключения на момент обращения заявителя с заявлением о подключении, но при наличии в утвержденной в установленном порядке инвестиционной программе мероприятий, обеспечивающих техническую возможность подключения, исполнитель не вправе отказать заявителю в заключении договора о подключении. Сроки подключения подключаемого объекта в таком случае устанавливаются с учетом плановых сроков реализации соответствующих мероприятий инвестиционной программы.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themeColor="text1" w:themeTint="a6" w:val="auto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312"/>
        <w:ind w:left="36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12"/>
        <w:ind w:left="36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I</w:t>
      </w:r>
      <w:r>
        <w:rPr>
          <w:rFonts w:cs="Times New Roman" w:ascii="Times New Roman" w:hAnsi="Times New Roman"/>
          <w:b/>
          <w:lang w:val="en-US"/>
        </w:rPr>
        <w:t>II</w:t>
      </w:r>
      <w:r>
        <w:rPr>
          <w:rFonts w:cs="Times New Roman" w:ascii="Times New Roman" w:hAnsi="Times New Roman"/>
          <w:b/>
        </w:rPr>
        <w:t>. Порядок приема заявки.</w:t>
      </w:r>
    </w:p>
    <w:p>
      <w:pPr>
        <w:pStyle w:val="Normal"/>
        <w:spacing w:lineRule="auto" w:line="312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Документы, представляемые для участия в аукционе:</w:t>
      </w:r>
    </w:p>
    <w:p>
      <w:pPr>
        <w:pStyle w:val="Normal"/>
        <w:spacing w:lineRule="auto" w:line="312"/>
        <w:ind w:firstLine="708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Подача заявки на участие осуществляется только посредством интерфейса торговой платформы АО «РАД» торговой секции «Аренда земельных участков» из личного кабинета заявителя.</w:t>
      </w:r>
    </w:p>
    <w:p>
      <w:pPr>
        <w:pStyle w:val="Normal"/>
        <w:spacing w:lineRule="auto" w:line="312"/>
        <w:ind w:firstLine="708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Заявка на участие в аукционе </w:t>
      </w:r>
      <w:r>
        <w:rPr>
          <w:rFonts w:cs="Times New Roman" w:ascii="Times New Roman" w:hAnsi="Times New Roman"/>
          <w:lang w:val="ru-RU"/>
        </w:rPr>
        <w:t>подаётся</w:t>
      </w:r>
      <w:r>
        <w:rPr>
          <w:rFonts w:cs="Times New Roman" w:ascii="Times New Roman" w:hAnsi="Times New Roman"/>
        </w:rPr>
        <w:t xml:space="preserve"> на электронную площадку по форме,</w:t>
      </w:r>
    </w:p>
    <w:p>
      <w:pPr>
        <w:pStyle w:val="Normal"/>
        <w:spacing w:lineRule="auto" w:line="312"/>
        <w:ind w:firstLine="708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установленной аукционной документацией, с приложением электронных образов необходимых</w:t>
      </w:r>
    </w:p>
    <w:p>
      <w:pPr>
        <w:pStyle w:val="Normal"/>
        <w:spacing w:lineRule="auto" w:line="312"/>
        <w:ind w:firstLine="708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 xml:space="preserve">документов, заверенных электронной подписью заявителя либо лица, имеющего право действовать от имени заявителя и в срок, указанный в настоящем Извещении после внесения задатка. </w:t>
      </w:r>
    </w:p>
    <w:p>
      <w:pPr>
        <w:pStyle w:val="Normal"/>
        <w:spacing w:lineRule="auto" w:line="312"/>
        <w:ind w:firstLine="708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Заявка, документы, относящиеся к заявке, должны быть составлены на русском языке. </w:t>
        <w:br/>
        <w:t>Любые вспомогательные документы и печатные материалы, предоставленные участником, могут быть написаны на другом языке, если такие материалы сопровождаются точным, заверенным надлежащим образом переводом на русском языке.</w:t>
      </w:r>
    </w:p>
    <w:p>
      <w:pPr>
        <w:pStyle w:val="Normal"/>
        <w:spacing w:lineRule="auto" w:line="312"/>
        <w:ind w:firstLine="708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При этом датой начала срока подачи заявок на участие в аукционе является день, следующий за </w:t>
      </w:r>
      <w:r>
        <w:rPr>
          <w:rFonts w:cs="Times New Roman" w:ascii="Times New Roman" w:hAnsi="Times New Roman"/>
          <w:lang w:val="ru-RU"/>
        </w:rPr>
        <w:t>днём</w:t>
      </w:r>
      <w:r>
        <w:rPr>
          <w:rFonts w:cs="Times New Roman" w:ascii="Times New Roman" w:hAnsi="Times New Roman"/>
        </w:rPr>
        <w:t xml:space="preserve"> размещения на официальном сайте торгов извещения о проведении аукциона. </w:t>
      </w:r>
    </w:p>
    <w:p>
      <w:pPr>
        <w:pStyle w:val="BodyText"/>
        <w:spacing w:lineRule="auto" w:line="312" w:before="0" w:after="0"/>
        <w:ind w:firstLine="709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Для участия в аукционе заявитель должен представить следующие документы:</w:t>
      </w:r>
    </w:p>
    <w:p>
      <w:pPr>
        <w:pStyle w:val="Normal"/>
        <w:spacing w:lineRule="auto" w:line="312"/>
        <w:ind w:firstLine="720"/>
        <w:jc w:val="both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  <w:u w:val="single"/>
        </w:rPr>
        <w:t>Юридические лица предоставляют</w:t>
      </w:r>
      <w:r>
        <w:rPr>
          <w:rFonts w:cs="Times New Roman" w:ascii="Times New Roman" w:hAnsi="Times New Roman"/>
          <w:i/>
        </w:rPr>
        <w:t>:</w:t>
      </w:r>
    </w:p>
    <w:p>
      <w:pPr>
        <w:pStyle w:val="Normal"/>
        <w:spacing w:lineRule="auto" w:line="312"/>
        <w:ind w:firstLine="7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заявку на участие в аукционе;</w:t>
      </w:r>
    </w:p>
    <w:p>
      <w:pPr>
        <w:pStyle w:val="Normal"/>
        <w:spacing w:lineRule="auto" w:line="312"/>
        <w:ind w:firstLine="7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документы, подтверждающие внесение задатка.</w:t>
      </w:r>
    </w:p>
    <w:p>
      <w:pPr>
        <w:pStyle w:val="Normal"/>
        <w:spacing w:lineRule="auto" w:line="312"/>
        <w:ind w:firstLine="7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заверенные копии учредительных документов;</w:t>
      </w:r>
    </w:p>
    <w:p>
      <w:pPr>
        <w:pStyle w:val="Normal"/>
        <w:spacing w:lineRule="auto" w:line="312"/>
        <w:ind w:firstLine="7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избрании),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>
      <w:pPr>
        <w:pStyle w:val="Normal"/>
        <w:spacing w:lineRule="auto" w:line="312"/>
        <w:ind w:firstLine="720"/>
        <w:jc w:val="both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</w:rPr>
        <w:t>- скан-образ оформленной в установленном порядке</w:t>
      </w:r>
      <w:r>
        <w:rPr>
          <w:rFonts w:cs="Times New Roman" w:ascii="Times New Roman" w:hAnsi="Times New Roman"/>
          <w:b/>
        </w:rPr>
        <w:t xml:space="preserve"> </w:t>
      </w:r>
      <w:r>
        <w:rPr>
          <w:rFonts w:cs="Times New Roman" w:ascii="Times New Roman" w:hAnsi="Times New Roman"/>
        </w:rPr>
        <w:t>и нотариально заверенной</w:t>
        <w:br/>
        <w:t>доверенности</w:t>
      </w:r>
      <w:r>
        <w:rPr>
          <w:rFonts w:cs="Times New Roman" w:ascii="Times New Roman" w:hAnsi="Times New Roman"/>
          <w:b/>
        </w:rPr>
        <w:t xml:space="preserve"> </w:t>
      </w:r>
      <w:r>
        <w:rPr>
          <w:rFonts w:cs="Times New Roman" w:ascii="Times New Roman" w:hAnsi="Times New Roman"/>
        </w:rPr>
        <w:t>на осуществление действий от имени претендента (в случае, если от имени претендента действует его представитель);</w:t>
      </w:r>
    </w:p>
    <w:p>
      <w:pPr>
        <w:pStyle w:val="Normal"/>
        <w:spacing w:lineRule="auto" w:line="312"/>
        <w:ind w:firstLine="720"/>
        <w:jc w:val="both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  <w:u w:val="single"/>
        </w:rPr>
        <w:t>Физические лица предоставляют</w:t>
      </w:r>
      <w:r>
        <w:rPr>
          <w:rFonts w:cs="Times New Roman" w:ascii="Times New Roman" w:hAnsi="Times New Roman"/>
          <w:i/>
        </w:rPr>
        <w:t>:</w:t>
      </w:r>
    </w:p>
    <w:p>
      <w:pPr>
        <w:pStyle w:val="Normal"/>
        <w:spacing w:lineRule="auto" w:line="312"/>
        <w:ind w:firstLine="7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заявку на участие в аукционе;</w:t>
      </w:r>
    </w:p>
    <w:p>
      <w:pPr>
        <w:pStyle w:val="Normal"/>
        <w:spacing w:lineRule="auto" w:line="312"/>
        <w:ind w:firstLine="7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документы, подтверждающие внесение задатка.</w:t>
      </w:r>
    </w:p>
    <w:p>
      <w:pPr>
        <w:pStyle w:val="Normal"/>
        <w:spacing w:lineRule="auto" w:line="312"/>
        <w:ind w:firstLine="7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скан-образ документа, удостоверяющего личность (копии всех листов);</w:t>
      </w:r>
    </w:p>
    <w:p>
      <w:pPr>
        <w:pStyle w:val="Normal"/>
        <w:spacing w:lineRule="auto" w:line="312"/>
        <w:ind w:firstLine="720"/>
        <w:jc w:val="both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</w:rPr>
        <w:t>- скан-образ оформленной в установленном порядке и нотариально заверенной</w:t>
        <w:br/>
        <w:t>доверенности</w:t>
      </w:r>
      <w:r>
        <w:rPr>
          <w:rFonts w:cs="Times New Roman" w:ascii="Times New Roman" w:hAnsi="Times New Roman"/>
          <w:b/>
        </w:rPr>
        <w:t xml:space="preserve"> </w:t>
      </w:r>
      <w:r>
        <w:rPr>
          <w:rFonts w:cs="Times New Roman" w:ascii="Times New Roman" w:hAnsi="Times New Roman"/>
        </w:rPr>
        <w:t>на осуществление действий от имени претендента (в случае, если от имени претендента действует его представитель);</w:t>
      </w:r>
    </w:p>
    <w:p>
      <w:pPr>
        <w:pStyle w:val="Normal"/>
        <w:spacing w:lineRule="auto" w:line="312"/>
        <w:ind w:firstLine="708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Предоставляемые заявителем копии документов не должны отличаться от оригиналов </w:t>
        <w:br/>
        <w:t>документов по количеству листов.</w:t>
      </w:r>
    </w:p>
    <w:p>
      <w:pPr>
        <w:pStyle w:val="Normal"/>
        <w:spacing w:lineRule="auto" w:line="312"/>
        <w:ind w:firstLine="708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Все документы, входящие в состав заявки, должны быть оформлены с учётом следующих требований: </w:t>
      </w:r>
    </w:p>
    <w:p>
      <w:pPr>
        <w:pStyle w:val="Normal"/>
        <w:spacing w:lineRule="auto" w:line="312"/>
        <w:ind w:firstLine="708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- документы, прилагаемые в копиях, должны удостоверяться подписью уполномоченного лица заявителя и заверяться печатью (при наличии печати); </w:t>
      </w:r>
    </w:p>
    <w:p>
      <w:pPr>
        <w:pStyle w:val="Normal"/>
        <w:spacing w:lineRule="auto" w:line="312"/>
        <w:ind w:firstLine="708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- в документах не допускается применение факсимильных подписей, а также наличие </w:t>
        <w:br/>
        <w:t xml:space="preserve">подчисток и исправлений; </w:t>
      </w:r>
    </w:p>
    <w:p>
      <w:pPr>
        <w:pStyle w:val="Normal"/>
        <w:spacing w:lineRule="auto" w:line="312"/>
        <w:ind w:firstLine="708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- все страницы документов должны быть </w:t>
      </w:r>
      <w:r>
        <w:rPr>
          <w:rFonts w:cs="Times New Roman" w:ascii="Times New Roman" w:hAnsi="Times New Roman"/>
          <w:lang w:val="ru-RU"/>
        </w:rPr>
        <w:t>чёткими</w:t>
      </w:r>
      <w:r>
        <w:rPr>
          <w:rFonts w:cs="Times New Roman" w:ascii="Times New Roman" w:hAnsi="Times New Roman"/>
        </w:rPr>
        <w:t xml:space="preserve"> и читаемыми;</w:t>
      </w:r>
    </w:p>
    <w:p>
      <w:pPr>
        <w:pStyle w:val="Normal"/>
        <w:spacing w:lineRule="auto" w:line="312"/>
        <w:ind w:firstLine="708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Заявки принимаются одновременно с полным комплектом документов, установленным </w:t>
        <w:br/>
        <w:t>в настоящем извещении.</w:t>
      </w:r>
    </w:p>
    <w:p>
      <w:pPr>
        <w:pStyle w:val="Normal"/>
        <w:spacing w:lineRule="auto" w:line="312"/>
        <w:ind w:firstLine="708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Одно лицо имеет право подать только одну заявку на участие в аукционе.</w:t>
      </w:r>
    </w:p>
    <w:p>
      <w:pPr>
        <w:pStyle w:val="Normal"/>
        <w:spacing w:lineRule="auto" w:line="312"/>
        <w:ind w:firstLine="708"/>
        <w:jc w:val="both"/>
        <w:rPr>
          <w:rFonts w:ascii="Times New Roman" w:hAnsi="Times New Roman" w:cs="Times New Roman"/>
          <w:u w:val="single"/>
        </w:rPr>
      </w:pPr>
      <w:r>
        <w:rPr>
          <w:rFonts w:cs="Times New Roman" w:ascii="Times New Roman" w:hAnsi="Times New Roman"/>
          <w:u w:val="single"/>
        </w:rPr>
        <w:t>Заявка на участие в аукционе отклоняется Оператором электронной площадки:</w:t>
      </w:r>
    </w:p>
    <w:p>
      <w:pPr>
        <w:pStyle w:val="Normal"/>
        <w:spacing w:lineRule="auto" w:line="312"/>
        <w:ind w:firstLine="708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в случае, если заявка не подписана электронной подписью заявителя либо лица, имеющего право действовать от имени заявителя, или подписана электронной подписью лица, не имеющего соответствующих полномочий;</w:t>
      </w:r>
    </w:p>
    <w:p>
      <w:pPr>
        <w:pStyle w:val="Normal"/>
        <w:spacing w:lineRule="auto" w:line="312"/>
        <w:ind w:firstLine="708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в случае, если заявка направлена после окончания срока подачи заявок;</w:t>
      </w:r>
    </w:p>
    <w:p>
      <w:pPr>
        <w:pStyle w:val="Normal"/>
        <w:tabs>
          <w:tab w:val="clear" w:pos="708"/>
          <w:tab w:val="left" w:pos="6300" w:leader="none"/>
        </w:tabs>
        <w:spacing w:lineRule="auto" w:line="312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</w:rPr>
        <w:t>- в иных случаях, установленных действующим законодательством.</w:t>
      </w:r>
      <w:r>
        <w:rPr>
          <w:rFonts w:cs="Times New Roman" w:ascii="Times New Roman" w:hAnsi="Times New Roman"/>
          <w:b/>
        </w:rPr>
        <w:t xml:space="preserve"> </w:t>
      </w:r>
    </w:p>
    <w:p>
      <w:pPr>
        <w:pStyle w:val="Normal"/>
        <w:tabs>
          <w:tab w:val="clear" w:pos="708"/>
          <w:tab w:val="left" w:pos="6300" w:leader="none"/>
        </w:tabs>
        <w:spacing w:lineRule="auto" w:line="312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cs="Times New Roman" w:ascii="Times New Roman" w:hAnsi="Times New Roman"/>
          <w:u w:val="single"/>
        </w:rPr>
        <w:t>Заявитель не допускается к участию в аукционе в следующих случаях:</w:t>
      </w:r>
    </w:p>
    <w:p>
      <w:pPr>
        <w:pStyle w:val="Normal"/>
        <w:tabs>
          <w:tab w:val="clear" w:pos="708"/>
          <w:tab w:val="left" w:pos="6300" w:leader="none"/>
        </w:tabs>
        <w:spacing w:lineRule="auto" w:line="312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1) не представление необходимых для участия в аукционе документов или представление недостоверных сведений;</w:t>
      </w:r>
    </w:p>
    <w:p>
      <w:pPr>
        <w:pStyle w:val="Normal"/>
        <w:tabs>
          <w:tab w:val="clear" w:pos="708"/>
          <w:tab w:val="left" w:pos="6300" w:leader="none"/>
        </w:tabs>
        <w:spacing w:lineRule="auto" w:line="312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2) не поступление задатка на дату рассмотрения заявок на участие в аукционе;</w:t>
      </w:r>
    </w:p>
    <w:p>
      <w:pPr>
        <w:pStyle w:val="Normal"/>
        <w:tabs>
          <w:tab w:val="clear" w:pos="708"/>
          <w:tab w:val="left" w:pos="6300" w:leader="none"/>
        </w:tabs>
        <w:spacing w:lineRule="auto" w:line="312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3) подача заявки на участие в аукционе лицом, которое в соответствии </w:t>
        <w:br/>
        <w:t>с действующим законодательством РФ не имеет права быть участником конкретного аукциона, покупателем земельного участка;</w:t>
      </w:r>
    </w:p>
    <w:p>
      <w:pPr>
        <w:pStyle w:val="Normal"/>
        <w:spacing w:lineRule="auto" w:line="312"/>
        <w:ind w:firstLine="708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>
      <w:pPr>
        <w:pStyle w:val="FR1"/>
        <w:spacing w:lineRule="auto" w:line="312" w:before="60" w:after="0"/>
        <w:ind w:hanging="0" w:left="440"/>
        <w:jc w:val="center"/>
        <w:rPr>
          <w:sz w:val="24"/>
          <w:szCs w:val="24"/>
        </w:rPr>
      </w:pPr>
      <w:r>
        <w:rPr>
          <w:i w:val="false"/>
          <w:sz w:val="24"/>
          <w:szCs w:val="24"/>
        </w:rPr>
        <w:t>IV. Порядок внесения задатка и его возврата</w:t>
      </w:r>
    </w:p>
    <w:p>
      <w:pPr>
        <w:pStyle w:val="Normal"/>
        <w:tabs>
          <w:tab w:val="clear" w:pos="708"/>
          <w:tab w:val="left" w:pos="6300" w:leader="none"/>
        </w:tabs>
        <w:spacing w:lineRule="auto" w:line="312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Заявитель обеспечивает поступление задатка на </w:t>
      </w:r>
      <w:r>
        <w:rPr>
          <w:rFonts w:cs="Times New Roman" w:ascii="Times New Roman" w:hAnsi="Times New Roman"/>
          <w:lang w:val="ru-RU"/>
        </w:rPr>
        <w:t>счёт</w:t>
      </w:r>
      <w:r>
        <w:rPr>
          <w:rFonts w:cs="Times New Roman" w:ascii="Times New Roman" w:hAnsi="Times New Roman"/>
        </w:rPr>
        <w:t xml:space="preserve">, открытый на электронной торговой площадке </w:t>
      </w:r>
      <w:r>
        <w:rPr>
          <w:rFonts w:cs="Times New Roman" w:ascii="Times New Roman" w:hAnsi="Times New Roman"/>
          <w:b/>
        </w:rPr>
        <w:t>не позднее</w:t>
      </w:r>
      <w:r>
        <w:rPr>
          <w:rFonts w:cs="Times New Roman" w:ascii="Times New Roman" w:hAnsi="Times New Roman"/>
          <w:b/>
          <w:lang w:val="en-US"/>
        </w:rPr>
        <w:t xml:space="preserve"> </w:t>
      </w:r>
      <w:r>
        <w:rPr>
          <w:rFonts w:cs="Times New Roman" w:ascii="Times New Roman" w:hAnsi="Times New Roman"/>
          <w:b/>
          <w:lang w:val="ru-RU"/>
        </w:rPr>
        <w:t>13</w:t>
      </w:r>
      <w:r>
        <w:rPr>
          <w:rFonts w:cs="Times New Roman" w:ascii="Times New Roman" w:hAnsi="Times New Roman"/>
          <w:b/>
          <w:lang w:val="en-US"/>
        </w:rPr>
        <w:t xml:space="preserve"> ма</w:t>
      </w:r>
      <w:r>
        <w:rPr>
          <w:rFonts w:cs="Times New Roman" w:ascii="Times New Roman" w:hAnsi="Times New Roman"/>
          <w:b/>
          <w:lang w:val="ru-RU"/>
        </w:rPr>
        <w:t xml:space="preserve">рта </w:t>
      </w:r>
      <w:r>
        <w:rPr>
          <w:rFonts w:cs="Times New Roman" w:ascii="Times New Roman" w:hAnsi="Times New Roman"/>
          <w:b/>
        </w:rPr>
        <w:t>202</w:t>
      </w:r>
      <w:r>
        <w:rPr>
          <w:rFonts w:cs="Times New Roman" w:ascii="Times New Roman" w:hAnsi="Times New Roman"/>
          <w:b/>
          <w:lang w:val="ru-RU"/>
        </w:rPr>
        <w:t>5</w:t>
      </w:r>
      <w:r>
        <w:rPr>
          <w:rFonts w:cs="Times New Roman" w:ascii="Times New Roman" w:hAnsi="Times New Roman"/>
          <w:b/>
        </w:rPr>
        <w:t xml:space="preserve"> года 1</w:t>
      </w:r>
      <w:r>
        <w:rPr>
          <w:rFonts w:cs="Times New Roman" w:ascii="Times New Roman" w:hAnsi="Times New Roman"/>
          <w:b/>
          <w:lang w:val="ru-RU"/>
        </w:rPr>
        <w:t>0</w:t>
      </w:r>
      <w:r>
        <w:rPr>
          <w:rFonts w:cs="Times New Roman" w:ascii="Times New Roman" w:hAnsi="Times New Roman"/>
          <w:b/>
        </w:rPr>
        <w:t xml:space="preserve"> часов 00 минут</w:t>
      </w:r>
      <w:r>
        <w:rPr>
          <w:rFonts w:cs="Times New Roman" w:ascii="Times New Roman" w:hAnsi="Times New Roman"/>
        </w:rPr>
        <w:t xml:space="preserve">. </w:t>
      </w:r>
    </w:p>
    <w:p>
      <w:pPr>
        <w:pStyle w:val="Normal"/>
        <w:tabs>
          <w:tab w:val="clear" w:pos="708"/>
          <w:tab w:val="left" w:pos="6300" w:leader="none"/>
        </w:tabs>
        <w:spacing w:lineRule="auto" w:line="312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 xml:space="preserve">ВНИМАНИЕ!!!!! Дата поступления задатка считается фактическое поступление на </w:t>
      </w:r>
      <w:r>
        <w:rPr>
          <w:rFonts w:cs="Times New Roman" w:ascii="Times New Roman" w:hAnsi="Times New Roman"/>
          <w:b/>
          <w:lang w:val="ru-RU"/>
        </w:rPr>
        <w:t>счёт</w:t>
      </w:r>
      <w:r>
        <w:rPr>
          <w:b/>
        </w:rPr>
        <w:t xml:space="preserve"> </w:t>
      </w:r>
      <w:r>
        <w:rPr>
          <w:rFonts w:cs="Times New Roman" w:ascii="Times New Roman" w:hAnsi="Times New Roman"/>
          <w:b/>
        </w:rPr>
        <w:t>электронной торговой площадки АО «Российский аукционный дом».</w:t>
      </w:r>
      <w:r>
        <w:rPr>
          <w:rFonts w:cs="Times New Roman" w:ascii="Times New Roman" w:hAnsi="Times New Roman"/>
        </w:rPr>
        <w:t xml:space="preserve"> Платежи по перечислению задатка для участия в аукционе и порядок возврата задатка осуществляются в соответствии с Регламентом электронной торговой площадки. Сумма задатка, </w:t>
      </w:r>
      <w:r>
        <w:rPr>
          <w:rFonts w:cs="Times New Roman" w:ascii="Times New Roman" w:hAnsi="Times New Roman"/>
          <w:lang w:val="ru-RU"/>
        </w:rPr>
        <w:t>внесённая</w:t>
      </w:r>
      <w:r>
        <w:rPr>
          <w:rFonts w:cs="Times New Roman" w:ascii="Times New Roman" w:hAnsi="Times New Roman"/>
        </w:rPr>
        <w:t xml:space="preserve"> победителем аукциона, засчитывается в </w:t>
      </w:r>
      <w:r>
        <w:rPr>
          <w:rFonts w:cs="Times New Roman" w:ascii="Times New Roman" w:hAnsi="Times New Roman"/>
          <w:lang w:val="ru-RU"/>
        </w:rPr>
        <w:t>счёт</w:t>
      </w:r>
      <w:r>
        <w:rPr>
          <w:rFonts w:cs="Times New Roman" w:ascii="Times New Roman" w:hAnsi="Times New Roman"/>
        </w:rPr>
        <w:t xml:space="preserve"> арендной платы  по договору, заключенному с победителем аукциона и подлежит перечислению в установленном порядке в бюджет Анучинского муниципального округа.</w:t>
      </w:r>
    </w:p>
    <w:p>
      <w:pPr>
        <w:pStyle w:val="Normal"/>
        <w:spacing w:lineRule="auto" w:line="312"/>
        <w:ind w:firstLine="708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Возврат задатков заявителям, не ставшим участниками аукциона, и участникам </w:t>
        <w:br/>
        <w:t xml:space="preserve">аукциона, не ставшим победителями аукциона, производится по реквизитам, указанным </w:t>
        <w:br/>
        <w:t xml:space="preserve">в заявке, в течении трех рабочих дней со дня оформления протоколов рассмотрения заявок либо протоколов о результатах аукциона. </w:t>
      </w:r>
    </w:p>
    <w:p>
      <w:pPr>
        <w:pStyle w:val="Normal"/>
        <w:spacing w:lineRule="auto" w:line="312"/>
        <w:ind w:firstLine="708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Задаток, </w:t>
      </w:r>
      <w:r>
        <w:rPr>
          <w:rFonts w:cs="Times New Roman" w:ascii="Times New Roman" w:hAnsi="Times New Roman"/>
          <w:lang w:val="ru-RU"/>
        </w:rPr>
        <w:t>внесённый</w:t>
      </w:r>
      <w:r>
        <w:rPr>
          <w:rFonts w:cs="Times New Roman" w:ascii="Times New Roman" w:hAnsi="Times New Roman"/>
        </w:rPr>
        <w:t xml:space="preserve"> лицом, признанным победителем аукциона, задаток, </w:t>
      </w:r>
      <w:r>
        <w:rPr>
          <w:rFonts w:cs="Times New Roman" w:ascii="Times New Roman" w:hAnsi="Times New Roman"/>
          <w:lang w:val="ru-RU"/>
        </w:rPr>
        <w:t>внесённый</w:t>
      </w:r>
      <w:r>
        <w:rPr>
          <w:rFonts w:cs="Times New Roman" w:ascii="Times New Roman" w:hAnsi="Times New Roman"/>
        </w:rPr>
        <w:t xml:space="preserve"> иным лицом, признанным единственным участником аукциона, с которым заключается договор аренды земельного участка, засчитывается в </w:t>
      </w:r>
      <w:r>
        <w:rPr>
          <w:rFonts w:cs="Times New Roman" w:ascii="Times New Roman" w:hAnsi="Times New Roman"/>
          <w:lang w:val="ru-RU"/>
        </w:rPr>
        <w:t>счёт</w:t>
      </w:r>
      <w:r>
        <w:rPr>
          <w:rFonts w:cs="Times New Roman" w:ascii="Times New Roman" w:hAnsi="Times New Roman"/>
        </w:rPr>
        <w:t xml:space="preserve"> арендной платы. </w:t>
      </w:r>
    </w:p>
    <w:p>
      <w:pPr>
        <w:pStyle w:val="Normal"/>
        <w:spacing w:lineRule="auto" w:line="312"/>
        <w:ind w:firstLine="708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Задатки, </w:t>
      </w:r>
      <w:r>
        <w:rPr>
          <w:rFonts w:cs="Times New Roman" w:ascii="Times New Roman" w:hAnsi="Times New Roman"/>
          <w:lang w:val="ru-RU"/>
        </w:rPr>
        <w:t>внесённые</w:t>
      </w:r>
      <w:r>
        <w:rPr>
          <w:rFonts w:cs="Times New Roman" w:ascii="Times New Roman" w:hAnsi="Times New Roman"/>
        </w:rPr>
        <w:t xml:space="preserve"> лицами, не заключившими договор аренды земельного участка вследствие уклонения от заключения договоров, не возвращаются. </w:t>
      </w:r>
    </w:p>
    <w:p>
      <w:pPr>
        <w:pStyle w:val="Heading5"/>
        <w:keepNext w:val="true"/>
        <w:numPr>
          <w:ilvl w:val="4"/>
          <w:numId w:val="1"/>
        </w:numPr>
        <w:spacing w:lineRule="auto" w:line="312" w:before="60" w:after="0"/>
        <w:jc w:val="center"/>
        <w:rPr>
          <w:rFonts w:ascii="Times New Roman" w:hAnsi="Times New Roman" w:cs="Times New Roman"/>
          <w:i w:val="false"/>
          <w:i w:val="false"/>
        </w:rPr>
      </w:pPr>
      <w:r>
        <w:rPr>
          <w:rFonts w:cs="Times New Roman" w:ascii="Times New Roman" w:hAnsi="Times New Roman"/>
          <w:i w:val="false"/>
        </w:rPr>
        <w:t xml:space="preserve">V. Порядок проведения аукциона в электронной форме </w:t>
      </w:r>
    </w:p>
    <w:p>
      <w:pPr>
        <w:pStyle w:val="Normal"/>
        <w:spacing w:lineRule="auto" w:line="312"/>
        <w:ind w:firstLine="851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Процедура аукциона проводится в день и время, указанные в настоящем Извещении, путем последовательного повышения участниками начальной цены продажи на величину, равную либо кратную величине «шага аукциона».</w:t>
      </w:r>
    </w:p>
    <w:p>
      <w:pPr>
        <w:pStyle w:val="Normal"/>
        <w:spacing w:lineRule="auto" w:line="312"/>
        <w:ind w:firstLine="851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«Шаг аукциона» установлен организатором аукциона в фиксированной сумме, в размере 3 % от начальной (минимальной) цены продажи, указанной в настоящей аукционной документации, и не изменяется в течение всего аукциона. </w:t>
      </w:r>
    </w:p>
    <w:p>
      <w:pPr>
        <w:pStyle w:val="Normal"/>
        <w:spacing w:lineRule="auto" w:line="312"/>
        <w:ind w:firstLine="851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земельного участка.</w:t>
      </w:r>
    </w:p>
    <w:p>
      <w:pPr>
        <w:pStyle w:val="Normal"/>
        <w:spacing w:lineRule="auto" w:line="312"/>
        <w:ind w:firstLine="851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Со времени начала проведения процедуры аукциона оператором электронной площадки </w:t>
      </w:r>
    </w:p>
    <w:p>
      <w:pPr>
        <w:pStyle w:val="Normal"/>
        <w:spacing w:lineRule="auto" w:line="312"/>
        <w:ind w:firstLine="851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размещается:</w:t>
      </w:r>
    </w:p>
    <w:p>
      <w:pPr>
        <w:pStyle w:val="Normal"/>
        <w:spacing w:lineRule="auto" w:line="312"/>
        <w:ind w:firstLine="851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а) в открытой части электронной площадки - информация о начале проведения процедуры аукциона с указанием наименования земельного участка, начальной цены и текущего «шага аукциона»;</w:t>
      </w:r>
    </w:p>
    <w:p>
      <w:pPr>
        <w:pStyle w:val="Normal"/>
        <w:spacing w:lineRule="auto" w:line="312"/>
        <w:ind w:firstLine="851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 земельного участка и время их поступления, величина повышения начальной цены («шаг аукциона»), время, оставшееся до окончания приема предложений о цене  земельного участка.</w:t>
      </w:r>
    </w:p>
    <w:p>
      <w:pPr>
        <w:pStyle w:val="Normal"/>
        <w:spacing w:lineRule="auto" w:line="312"/>
        <w:ind w:firstLine="851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В течение одного часа со времени начала проведения процедуры аукциона участникам предлагается заявить о выкупе (аренде) земельного участка по начальной цене. В случае если в течение указанного времени:</w:t>
      </w:r>
    </w:p>
    <w:p>
      <w:pPr>
        <w:pStyle w:val="Normal"/>
        <w:spacing w:lineRule="auto" w:line="312"/>
        <w:ind w:firstLine="851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а) поступило предложение о начальной цене земельного участка, то время для представления следующих предложений об увеличенной на «шаг аукциона» цене земельного участка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земельного участка следующее предложение не поступило, аукцион с помощью программно-аппаратных средств электронной площадки завершается;</w:t>
      </w:r>
    </w:p>
    <w:p>
      <w:pPr>
        <w:pStyle w:val="Normal"/>
        <w:spacing w:lineRule="auto" w:line="312"/>
        <w:ind w:firstLine="851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б) не поступило ни одного предложения о начальной цене земельного участка,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земельного участка является время завершения аукциона.</w:t>
      </w:r>
    </w:p>
    <w:p>
      <w:pPr>
        <w:pStyle w:val="Normal"/>
        <w:spacing w:lineRule="auto" w:line="312"/>
        <w:ind w:firstLine="851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При этом программными средствами электронной площадки обеспечивается:</w:t>
      </w:r>
    </w:p>
    <w:p>
      <w:pPr>
        <w:pStyle w:val="Normal"/>
        <w:spacing w:lineRule="auto" w:line="312"/>
        <w:ind w:firstLine="851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а) исключение возможности подачи участником предложения о цене земельного участка, не соответствующего увеличению текущей цены на величину «шага аукциона»;</w:t>
      </w:r>
    </w:p>
    <w:p>
      <w:pPr>
        <w:pStyle w:val="Normal"/>
        <w:spacing w:lineRule="auto" w:line="312"/>
        <w:ind w:firstLine="851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б) уведомление участника в случае, если предложение этого участника о цене земельного участка не может быть принято в связи с подачей аналогичного предложения ранее другим участником.</w:t>
      </w:r>
    </w:p>
    <w:p>
      <w:pPr>
        <w:pStyle w:val="Heading6"/>
        <w:keepNext w:val="true"/>
        <w:numPr>
          <w:ilvl w:val="5"/>
          <w:numId w:val="1"/>
        </w:numPr>
        <w:spacing w:lineRule="auto" w:line="312" w:before="60" w:after="0"/>
        <w:ind w:left="280"/>
        <w:jc w:val="center"/>
        <w:rPr>
          <w:rFonts w:ascii="Times New Roman" w:hAnsi="Times New Roman" w:cs="Times New Roman"/>
          <w:i w:val="false"/>
          <w:i w:val="false"/>
        </w:rPr>
      </w:pPr>
      <w:r>
        <w:rPr>
          <w:rFonts w:cs="Times New Roman" w:ascii="Times New Roman" w:hAnsi="Times New Roman"/>
          <w:i w:val="false"/>
        </w:rPr>
        <w:t>VI. Порядок заключения договора купли-продажи по итогам аукциона</w:t>
      </w:r>
    </w:p>
    <w:p>
      <w:pPr>
        <w:pStyle w:val="Normal"/>
        <w:spacing w:lineRule="auto" w:line="312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851" w:leader="none"/>
          <w:tab w:val="left" w:pos="1219" w:leader="none"/>
        </w:tabs>
        <w:spacing w:lineRule="auto" w:line="312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</w:t>
      </w:r>
      <w:r>
        <w:rPr>
          <w:rFonts w:cs="Times New Roman" w:ascii="Times New Roman" w:hAnsi="Times New Roman"/>
        </w:rPr>
        <w:t xml:space="preserve">По результатам проведения электронного аукциона не допускается заключение договора аренды земельного участка, находящегося в </w:t>
      </w:r>
      <w:bookmarkStart w:id="9" w:name="_Hlk132728513"/>
      <w:r>
        <w:rPr>
          <w:rFonts w:cs="Times New Roman" w:ascii="Times New Roman" w:hAnsi="Times New Roman"/>
        </w:rPr>
        <w:t xml:space="preserve">не разграниченной </w:t>
      </w:r>
      <w:bookmarkEnd w:id="9"/>
      <w:r>
        <w:rPr>
          <w:rFonts w:cs="Times New Roman" w:ascii="Times New Roman" w:hAnsi="Times New Roman"/>
        </w:rPr>
        <w:t xml:space="preserve">государственной собственности, ранее чем через десять дней со дня </w:t>
      </w:r>
      <w:bookmarkStart w:id="10" w:name="_Hlk132725397"/>
      <w:r>
        <w:rPr>
          <w:rFonts w:cs="Times New Roman" w:ascii="Times New Roman" w:hAnsi="Times New Roman"/>
        </w:rPr>
        <w:t xml:space="preserve">размещения протокола рассмотрения заявок на участие в электронном аукционе </w:t>
      </w:r>
      <w:bookmarkEnd w:id="10"/>
      <w:r>
        <w:rPr>
          <w:rFonts w:cs="Times New Roman" w:ascii="Times New Roman" w:hAnsi="Times New Roman"/>
        </w:rPr>
        <w:t xml:space="preserve">в случае, если электронный аукцион признан несостоявшимся, </w:t>
      </w:r>
      <w:bookmarkStart w:id="11" w:name="_Hlk132725412"/>
      <w:r>
        <w:rPr>
          <w:rFonts w:cs="Times New Roman" w:ascii="Times New Roman" w:hAnsi="Times New Roman"/>
        </w:rPr>
        <w:t>либо протокола о результатах электронного аукциона</w:t>
      </w:r>
      <w:bookmarkEnd w:id="11"/>
      <w:r>
        <w:rPr>
          <w:rFonts w:cs="Times New Roman" w:ascii="Times New Roman" w:hAnsi="Times New Roman"/>
        </w:rPr>
        <w:t xml:space="preserve"> на официальном сайте.</w:t>
      </w:r>
    </w:p>
    <w:p>
      <w:pPr>
        <w:pStyle w:val="Normal"/>
        <w:tabs>
          <w:tab w:val="clear" w:pos="708"/>
          <w:tab w:val="left" w:pos="709" w:leader="none"/>
          <w:tab w:val="left" w:pos="851" w:leader="none"/>
          <w:tab w:val="left" w:pos="1219" w:leader="none"/>
        </w:tabs>
        <w:spacing w:lineRule="auto" w:line="312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</w:t>
      </w:r>
      <w:r>
        <w:rPr>
          <w:rFonts w:cs="Times New Roman" w:ascii="Times New Roman" w:hAnsi="Times New Roman"/>
        </w:rPr>
        <w:t>В течение пяти дней со дня истечения срока указанного в абзаце первом настоящего раздела, направить победителю электронного аукциона или иным лицам, с которыми в соответствии с пунктами 13, 14, 20 и 25 статьи 39.12 Земельного Кодекса заключается договор аренды земельного участка, находящегося в не разграниченной государственной собственности, подписанный проект договора аренды земельного участка, находящегося в</w:t>
      </w:r>
      <w:r>
        <w:rPr/>
        <w:t xml:space="preserve"> </w:t>
      </w:r>
      <w:r>
        <w:rPr>
          <w:rFonts w:cs="Times New Roman" w:ascii="Times New Roman" w:hAnsi="Times New Roman"/>
        </w:rPr>
        <w:t>не разграниченной государственной собственности.</w:t>
      </w:r>
    </w:p>
    <w:p>
      <w:pPr>
        <w:pStyle w:val="Normal"/>
        <w:tabs>
          <w:tab w:val="clear" w:pos="708"/>
          <w:tab w:val="left" w:pos="709" w:leader="none"/>
          <w:tab w:val="left" w:pos="851" w:leader="none"/>
          <w:tab w:val="left" w:pos="1219" w:leader="none"/>
        </w:tabs>
        <w:spacing w:lineRule="auto" w:line="312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</w:t>
      </w:r>
      <w:r>
        <w:rPr>
          <w:rFonts w:cs="Times New Roman" w:ascii="Times New Roman" w:hAnsi="Times New Roman"/>
        </w:rPr>
        <w:t>По результатам проведения электронного аукциона договор аренды земельного участка, находящегося в</w:t>
      </w:r>
      <w:r>
        <w:rPr/>
        <w:t xml:space="preserve"> </w:t>
      </w:r>
      <w:r>
        <w:rPr>
          <w:rFonts w:cs="Times New Roman" w:ascii="Times New Roman" w:hAnsi="Times New Roman"/>
        </w:rPr>
        <w:t>не разграниченной государственной собственности, заключается в электронной форме и подписывается усиленной квалифицированной электронной подписью сторон такого договора.</w:t>
      </w:r>
    </w:p>
    <w:p>
      <w:pPr>
        <w:pStyle w:val="Normal"/>
        <w:tabs>
          <w:tab w:val="clear" w:pos="708"/>
          <w:tab w:val="left" w:pos="709" w:leader="none"/>
          <w:tab w:val="left" w:pos="851" w:leader="none"/>
          <w:tab w:val="left" w:pos="1219" w:leader="none"/>
        </w:tabs>
        <w:spacing w:lineRule="auto" w:line="312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</w:t>
      </w:r>
      <w:r>
        <w:rPr>
          <w:rFonts w:cs="Times New Roman" w:ascii="Times New Roman" w:hAnsi="Times New Roman"/>
        </w:rPr>
        <w:t>Если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орган, организатор аукциона предлагает заключить указанные договоры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>
      <w:pPr>
        <w:pStyle w:val="Normal"/>
        <w:spacing w:lineRule="auto" w:line="312"/>
        <w:ind w:firstLine="708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Допускается взимание оператором электронной площадки с победителя электронного аукциона или иных лиц, с которыми в соответствии с пунктами 13, 14, 20 и 25 статьи 39.12 Земельного Кодекса заключается договор аренды земельного участка, находящегося в</w:t>
      </w:r>
      <w:r>
        <w:rPr/>
        <w:t xml:space="preserve"> </w:t>
      </w:r>
      <w:r>
        <w:rPr>
          <w:rFonts w:cs="Times New Roman" w:ascii="Times New Roman" w:hAnsi="Times New Roman"/>
        </w:rPr>
        <w:t>не разграниченной государственной собственности, платы за участие в электронном аукционе в порядке, размере и на условиях,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>
      <w:pPr>
        <w:pStyle w:val="Normal"/>
        <w:tabs>
          <w:tab w:val="clear" w:pos="708"/>
          <w:tab w:val="left" w:pos="1219" w:leader="none"/>
        </w:tabs>
        <w:spacing w:lineRule="auto" w:line="312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type w:val="nextPage"/>
      <w:pgSz w:w="11906" w:h="16838"/>
      <w:pgMar w:left="1134" w:right="851" w:gutter="0" w:header="0" w:top="709" w:footer="0" w:bottom="14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semiHidden="0" w:qFormat="1"/>
    <w:lsdException w:name="heading 6" w:uiPriority="0" w:semiHidden="0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index heading" w:uiPriority="99"/>
    <w:lsdException w:name="caption" w:uiPriority="35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 w:unhideWhenUsed="0" w:qFormat="1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0" w:semiHidden="0" w:unhideWhenUsed="0" w:qFormat="1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 w:qFormat="1"/>
    <w:lsdException w:name="Table Grid" w:uiPriority="59" w:semiHidden="0" w:unhideWhenUsed="0" w:qFormat="1"/>
    <w:lsdException w:name="Table Theme" w:uiPriority="99"/>
    <w:lsdException w:name="No Spacing" w:uiPriority="1" w:semiHidden="0" w:unhideWhenUsed="0" w:qFormat="1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</w:latentStyles>
  <w:style w:type="paragraph" w:styleId="Normal" w:default="1">
    <w:name w:val="Normal"/>
    <w:autoRedefine/>
    <w:uiPriority w:val="0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autoRedefine/>
    <w:uiPriority w:val="9"/>
    <w:qFormat/>
    <w:pPr>
      <w:spacing w:before="60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i/>
      <w:iCs/>
      <w:sz w:val="32"/>
      <w:szCs w:val="32"/>
    </w:rPr>
  </w:style>
  <w:style w:type="paragraph" w:styleId="Heading2">
    <w:name w:val="heading 2"/>
    <w:basedOn w:val="Normal"/>
    <w:next w:val="Normal"/>
    <w:link w:val="2"/>
    <w:autoRedefine/>
    <w:uiPriority w:val="9"/>
    <w:semiHidden/>
    <w:unhideWhenUsed/>
    <w:qFormat/>
    <w:pPr>
      <w:spacing w:before="32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3"/>
    <w:autoRedefine/>
    <w:uiPriority w:val="9"/>
    <w:semiHidden/>
    <w:unhideWhenUsed/>
    <w:qFormat/>
    <w:pPr>
      <w:spacing w:before="320" w:after="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i/>
      <w:iCs/>
      <w:sz w:val="26"/>
      <w:szCs w:val="26"/>
    </w:rPr>
  </w:style>
  <w:style w:type="paragraph" w:styleId="Heading4">
    <w:name w:val="heading 4"/>
    <w:basedOn w:val="Normal"/>
    <w:next w:val="Normal"/>
    <w:link w:val="4"/>
    <w:autoRedefine/>
    <w:uiPriority w:val="9"/>
    <w:semiHidden/>
    <w:unhideWhenUsed/>
    <w:qFormat/>
    <w:pPr>
      <w:spacing w:before="280" w:after="0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</w:rPr>
  </w:style>
  <w:style w:type="paragraph" w:styleId="Heading5">
    <w:name w:val="heading 5"/>
    <w:basedOn w:val="Normal"/>
    <w:next w:val="Normal"/>
    <w:link w:val="5"/>
    <w:autoRedefine/>
    <w:uiPriority w:val="0"/>
    <w:unhideWhenUsed/>
    <w:qFormat/>
    <w:pPr>
      <w:spacing w:before="280" w:after="0"/>
      <w:outlineLvl w:val="4"/>
    </w:pPr>
    <w:rPr>
      <w:rFonts w:ascii="Cambria" w:hAnsi="Cambria" w:eastAsia="" w:cs="" w:asciiTheme="majorHAnsi" w:cstheme="majorBidi" w:eastAsiaTheme="majorEastAsia" w:hAnsiTheme="majorHAnsi"/>
      <w:b/>
      <w:bCs/>
      <w:i/>
      <w:iCs/>
    </w:rPr>
  </w:style>
  <w:style w:type="paragraph" w:styleId="Heading6">
    <w:name w:val="heading 6"/>
    <w:basedOn w:val="Normal"/>
    <w:next w:val="Normal"/>
    <w:link w:val="6"/>
    <w:autoRedefine/>
    <w:uiPriority w:val="0"/>
    <w:unhideWhenUsed/>
    <w:qFormat/>
    <w:pPr>
      <w:spacing w:before="280" w:after="80"/>
      <w:outlineLvl w:val="5"/>
    </w:pPr>
    <w:rPr>
      <w:rFonts w:ascii="Cambria" w:hAnsi="Cambria" w:eastAsia="" w:cs="" w:asciiTheme="majorHAnsi" w:cstheme="majorBidi" w:eastAsiaTheme="majorEastAsia" w:hAnsiTheme="majorHAnsi"/>
      <w:b/>
      <w:bCs/>
      <w:i/>
      <w:iCs/>
    </w:rPr>
  </w:style>
  <w:style w:type="paragraph" w:styleId="Heading7">
    <w:name w:val="heading 7"/>
    <w:basedOn w:val="Normal"/>
    <w:next w:val="Normal"/>
    <w:link w:val="7"/>
    <w:autoRedefine/>
    <w:uiPriority w:val="9"/>
    <w:semiHidden/>
    <w:unhideWhenUsed/>
    <w:qFormat/>
    <w:pPr>
      <w:spacing w:before="280" w:after="0"/>
      <w:outlineLvl w:val="6"/>
    </w:pPr>
    <w:rPr>
      <w:rFonts w:ascii="Cambria" w:hAnsi="Cambria" w:eastAsia="" w:cs="" w:asciiTheme="majorHAnsi" w:cstheme="majorBidi" w:eastAsiaTheme="majorEastAsia" w:hAnsiTheme="majorHAnsi"/>
      <w:b/>
      <w:bCs/>
      <w:i/>
      <w:iCs/>
      <w:sz w:val="20"/>
      <w:szCs w:val="20"/>
    </w:rPr>
  </w:style>
  <w:style w:type="paragraph" w:styleId="Heading8">
    <w:name w:val="heading 8"/>
    <w:basedOn w:val="Normal"/>
    <w:next w:val="Normal"/>
    <w:link w:val="8"/>
    <w:autoRedefine/>
    <w:uiPriority w:val="9"/>
    <w:semiHidden/>
    <w:unhideWhenUsed/>
    <w:qFormat/>
    <w:pPr>
      <w:spacing w:before="280" w:after="0"/>
      <w:outlineLvl w:val="7"/>
    </w:pPr>
    <w:rPr>
      <w:rFonts w:ascii="Cambria" w:hAnsi="Cambria" w:eastAsia="" w:cs="" w:asciiTheme="majorHAnsi" w:cstheme="majorBidi" w:eastAsiaTheme="majorEastAsia" w:hAnsiTheme="majorHAnsi"/>
      <w:b/>
      <w:bCs/>
      <w:i/>
      <w:iCs/>
      <w:sz w:val="18"/>
      <w:szCs w:val="18"/>
    </w:rPr>
  </w:style>
  <w:style w:type="paragraph" w:styleId="Heading9">
    <w:name w:val="heading 9"/>
    <w:basedOn w:val="Normal"/>
    <w:next w:val="Normal"/>
    <w:link w:val="9"/>
    <w:autoRedefine/>
    <w:uiPriority w:val="9"/>
    <w:semiHidden/>
    <w:unhideWhenUsed/>
    <w:qFormat/>
    <w:pPr>
      <w:spacing w:before="280" w:after="0"/>
      <w:outlineLvl w:val="8"/>
    </w:pPr>
    <w:rPr>
      <w:rFonts w:ascii="Cambria" w:hAnsi="Cambria" w:eastAsia="" w:cs="" w:asciiTheme="majorHAnsi" w:cstheme="majorBidi" w:eastAsiaTheme="majorEastAsia" w:hAnsiTheme="majorHAnsi"/>
      <w:i/>
      <w:iCs/>
      <w:sz w:val="18"/>
      <w:szCs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mphasis">
    <w:name w:val="Emphasis"/>
    <w:uiPriority w:val="20"/>
    <w:qFormat/>
    <w:rPr>
      <w:b/>
      <w:bCs/>
      <w:i/>
      <w:iCs/>
      <w:color w:val="auto"/>
    </w:rPr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Strong">
    <w:name w:val="Strong"/>
    <w:basedOn w:val="DefaultParagraphFont"/>
    <w:uiPriority w:val="22"/>
    <w:qFormat/>
    <w:rPr>
      <w:b/>
      <w:bCs/>
      <w:spacing w:val="0"/>
    </w:rPr>
  </w:style>
  <w:style w:type="character" w:styleId="1" w:customStyle="1">
    <w:name w:val="Заголовок 1 Знак"/>
    <w:basedOn w:val="DefaultParagraphFont"/>
    <w:uiPriority w:val="9"/>
    <w:qFormat/>
    <w:rPr>
      <w:rFonts w:ascii="Cambria" w:hAnsi="Cambria" w:eastAsia="" w:cs="" w:asciiTheme="majorHAnsi" w:cstheme="majorBidi" w:eastAsiaTheme="majorEastAsia" w:hAnsiTheme="majorHAnsi"/>
      <w:b/>
      <w:bCs/>
      <w:i/>
      <w:iCs/>
      <w:sz w:val="32"/>
      <w:szCs w:val="32"/>
    </w:rPr>
  </w:style>
  <w:style w:type="character" w:styleId="2" w:customStyle="1">
    <w:name w:val="Заголовок 2 Знак"/>
    <w:basedOn w:val="DefaultParagraphFont"/>
    <w:uiPriority w:val="9"/>
    <w:semiHidden/>
    <w:qFormat/>
    <w:rPr>
      <w:rFonts w:ascii="Cambria" w:hAnsi="Cambria" w:eastAsia="" w:cs="" w:asciiTheme="majorHAnsi" w:cstheme="majorBidi" w:eastAsiaTheme="majorEastAsia" w:hAnsiTheme="majorHAnsi"/>
      <w:b/>
      <w:bCs/>
      <w:i/>
      <w:iCs/>
      <w:sz w:val="28"/>
      <w:szCs w:val="28"/>
    </w:rPr>
  </w:style>
  <w:style w:type="character" w:styleId="3" w:customStyle="1">
    <w:name w:val="Заголовок 3 Знак"/>
    <w:basedOn w:val="DefaultParagraphFont"/>
    <w:uiPriority w:val="9"/>
    <w:semiHidden/>
    <w:qFormat/>
    <w:rPr>
      <w:rFonts w:ascii="Cambria" w:hAnsi="Cambria" w:eastAsia="" w:cs="" w:asciiTheme="majorHAnsi" w:cstheme="majorBidi" w:eastAsiaTheme="majorEastAsia" w:hAnsiTheme="majorHAnsi"/>
      <w:b/>
      <w:bCs/>
      <w:i/>
      <w:iCs/>
      <w:sz w:val="26"/>
      <w:szCs w:val="26"/>
    </w:rPr>
  </w:style>
  <w:style w:type="character" w:styleId="4" w:customStyle="1">
    <w:name w:val="Заголовок 4 Знак"/>
    <w:basedOn w:val="DefaultParagraphFont"/>
    <w:uiPriority w:val="9"/>
    <w:semiHidden/>
    <w:qFormat/>
    <w:rPr>
      <w:rFonts w:ascii="Cambria" w:hAnsi="Cambria" w:eastAsia="" w:cs="" w:asciiTheme="majorHAnsi" w:cstheme="majorBidi" w:eastAsiaTheme="majorEastAsia" w:hAnsiTheme="majorHAnsi"/>
      <w:b/>
      <w:bCs/>
      <w:i/>
      <w:iCs/>
      <w:sz w:val="24"/>
      <w:szCs w:val="24"/>
    </w:rPr>
  </w:style>
  <w:style w:type="character" w:styleId="5" w:customStyle="1">
    <w:name w:val="Заголовок 5 Знак"/>
    <w:basedOn w:val="DefaultParagraphFont"/>
    <w:uiPriority w:val="9"/>
    <w:semiHidden/>
    <w:qFormat/>
    <w:rPr>
      <w:rFonts w:ascii="Cambria" w:hAnsi="Cambria" w:eastAsia="" w:cs="" w:asciiTheme="majorHAnsi" w:cstheme="majorBidi" w:eastAsiaTheme="majorEastAsia" w:hAnsiTheme="majorHAnsi"/>
      <w:b/>
      <w:bCs/>
      <w:i/>
      <w:iCs/>
    </w:rPr>
  </w:style>
  <w:style w:type="character" w:styleId="6" w:customStyle="1">
    <w:name w:val="Заголовок 6 Знак"/>
    <w:basedOn w:val="DefaultParagraphFont"/>
    <w:uiPriority w:val="9"/>
    <w:semiHidden/>
    <w:qFormat/>
    <w:rPr>
      <w:rFonts w:ascii="Cambria" w:hAnsi="Cambria" w:eastAsia="" w:cs="" w:asciiTheme="majorHAnsi" w:cstheme="majorBidi" w:eastAsiaTheme="majorEastAsia" w:hAnsiTheme="majorHAnsi"/>
      <w:b/>
      <w:bCs/>
      <w:i/>
      <w:iCs/>
    </w:rPr>
  </w:style>
  <w:style w:type="character" w:styleId="7" w:customStyle="1">
    <w:name w:val="Заголовок 7 Знак"/>
    <w:basedOn w:val="DefaultParagraphFont"/>
    <w:uiPriority w:val="9"/>
    <w:semiHidden/>
    <w:qFormat/>
    <w:rPr>
      <w:rFonts w:ascii="Cambria" w:hAnsi="Cambria" w:eastAsia="" w:cs="" w:asciiTheme="majorHAnsi" w:cstheme="majorBidi" w:eastAsiaTheme="majorEastAsia" w:hAnsiTheme="majorHAnsi"/>
      <w:b/>
      <w:bCs/>
      <w:i/>
      <w:iCs/>
      <w:sz w:val="20"/>
      <w:szCs w:val="20"/>
    </w:rPr>
  </w:style>
  <w:style w:type="character" w:styleId="8" w:customStyle="1">
    <w:name w:val="Заголовок 8 Знак"/>
    <w:basedOn w:val="DefaultParagraphFont"/>
    <w:uiPriority w:val="9"/>
    <w:semiHidden/>
    <w:qFormat/>
    <w:rPr>
      <w:rFonts w:ascii="Cambria" w:hAnsi="Cambria" w:eastAsia="" w:cs="" w:asciiTheme="majorHAnsi" w:cstheme="majorBidi" w:eastAsiaTheme="majorEastAsia" w:hAnsiTheme="majorHAnsi"/>
      <w:b/>
      <w:bCs/>
      <w:i/>
      <w:iCs/>
      <w:sz w:val="18"/>
      <w:szCs w:val="18"/>
    </w:rPr>
  </w:style>
  <w:style w:type="character" w:styleId="9" w:customStyle="1">
    <w:name w:val="Заголовок 9 Знак"/>
    <w:basedOn w:val="DefaultParagraphFont"/>
    <w:uiPriority w:val="9"/>
    <w:semiHidden/>
    <w:qFormat/>
    <w:rPr>
      <w:rFonts w:ascii="Cambria" w:hAnsi="Cambria" w:eastAsia="" w:cs="" w:asciiTheme="majorHAnsi" w:cstheme="majorBidi" w:eastAsiaTheme="majorEastAsia" w:hAnsiTheme="majorHAnsi"/>
      <w:i/>
      <w:iCs/>
      <w:sz w:val="18"/>
      <w:szCs w:val="18"/>
    </w:rPr>
  </w:style>
  <w:style w:type="character" w:styleId="Style5" w:customStyle="1">
    <w:name w:val="Заголовок Знак"/>
    <w:basedOn w:val="DefaultParagraphFont"/>
    <w:uiPriority w:val="10"/>
    <w:qFormat/>
    <w:rPr>
      <w:rFonts w:ascii="Cambria" w:hAnsi="Cambria" w:eastAsia="" w:cs="" w:asciiTheme="majorHAnsi" w:cstheme="majorBidi" w:eastAsiaTheme="majorEastAsia" w:hAnsiTheme="majorHAnsi"/>
      <w:b/>
      <w:bCs/>
      <w:i/>
      <w:iCs/>
      <w:spacing w:val="10"/>
      <w:sz w:val="60"/>
      <w:szCs w:val="60"/>
    </w:rPr>
  </w:style>
  <w:style w:type="character" w:styleId="Style6" w:customStyle="1">
    <w:name w:val="Подзаголовок Знак"/>
    <w:basedOn w:val="DefaultParagraphFont"/>
    <w:uiPriority w:val="11"/>
    <w:qFormat/>
    <w:rPr>
      <w:i/>
      <w:iCs/>
      <w:color w:themeColor="text1" w:themeTint="80" w:val="808080"/>
      <w:spacing w:val="10"/>
      <w:sz w:val="24"/>
      <w:szCs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styleId="21" w:customStyle="1">
    <w:name w:val="Цитата 2 Знак"/>
    <w:basedOn w:val="DefaultParagraphFont"/>
    <w:link w:val="Quote"/>
    <w:uiPriority w:val="29"/>
    <w:qFormat/>
    <w:rPr>
      <w:color w:themeColor="text1" w:themeTint="a6" w:val="595959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rFonts w:ascii="Cambria" w:hAnsi="Cambria" w:eastAsia="" w:cs="" w:asciiTheme="majorHAnsi" w:cstheme="majorBidi" w:eastAsiaTheme="majorEastAsia" w:hAnsiTheme="majorHAnsi"/>
      <w:i/>
      <w:iCs/>
      <w:sz w:val="20"/>
      <w:szCs w:val="20"/>
    </w:rPr>
  </w:style>
  <w:style w:type="character" w:styleId="11" w:customStyle="1">
    <w:name w:val="Слабое выделение1"/>
    <w:uiPriority w:val="19"/>
    <w:qFormat/>
    <w:rPr>
      <w:i/>
      <w:iCs/>
      <w:color w:themeColor="text1" w:themeTint="a6" w:val="595959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2" w:customStyle="1">
    <w:name w:val="Сильное выделение1"/>
    <w:uiPriority w:val="21"/>
    <w:qFormat/>
    <w:rPr>
      <w:b/>
      <w:bCs/>
      <w:i/>
      <w:iCs/>
      <w:color w:val="auto"/>
      <w:u w:val="single"/>
    </w:rPr>
  </w:style>
  <w:style w:type="character" w:styleId="13" w:customStyle="1">
    <w:name w:val="Слабая ссылка1"/>
    <w:uiPriority w:val="31"/>
    <w:qFormat/>
    <w:rPr>
      <w:smallCaps/>
    </w:rPr>
  </w:style>
  <w:style w:type="character" w:styleId="14" w:customStyle="1">
    <w:name w:val="Сильная ссылка1"/>
    <w:uiPriority w:val="32"/>
    <w:qFormat/>
    <w:rPr>
      <w:b/>
      <w:bCs/>
      <w:smallCaps/>
      <w:color w:val="auto"/>
    </w:rPr>
  </w:style>
  <w:style w:type="character" w:styleId="15" w:customStyle="1">
    <w:name w:val="Название книги1"/>
    <w:uiPriority w:val="33"/>
    <w:qFormat/>
    <w:rPr>
      <w:rFonts w:ascii="Cambria" w:hAnsi="Cambria" w:eastAsia="" w:cs="" w:asciiTheme="majorHAnsi" w:cstheme="majorBidi" w:eastAsiaTheme="majorEastAsia" w:hAnsiTheme="majorHAnsi"/>
      <w:b/>
      <w:bCs/>
      <w:smallCaps/>
      <w:color w:val="auto"/>
      <w:u w:val="single"/>
    </w:rPr>
  </w:style>
  <w:style w:type="character" w:styleId="16" w:customStyle="1">
    <w:name w:val="Основной шрифт абзаца1"/>
    <w:uiPriority w:val="0"/>
    <w:qFormat/>
    <w:rPr/>
  </w:style>
  <w:style w:type="character" w:styleId="Style8" w:customStyle="1">
    <w:name w:val="Основной текст Знак"/>
    <w:basedOn w:val="DefaultParagraphFont"/>
    <w:uiPriority w:val="0"/>
    <w:qFormat/>
    <w:rPr>
      <w:rFonts w:ascii="Liberation Serif" w:hAnsi="Liberation Serif" w:eastAsia="NSimSun" w:cs="Arial"/>
      <w:kern w:val="2"/>
      <w:sz w:val="24"/>
      <w:szCs w:val="24"/>
      <w:lang w:eastAsia="zh-CN" w:bidi="hi-IN"/>
    </w:rPr>
  </w:style>
  <w:style w:type="character" w:styleId="Style9" w:customStyle="1">
    <w:name w:val="Без интервала Знак"/>
    <w:link w:val="NoSpacing"/>
    <w:uiPriority w:val="1"/>
    <w:qFormat/>
    <w:locked/>
    <w:rPr/>
  </w:style>
  <w:style w:type="character" w:styleId="Style10" w:customStyle="1">
    <w:name w:val="Текст выноски Знак"/>
    <w:basedOn w:val="DefaultParagraphFont"/>
    <w:link w:val="BalloonText"/>
    <w:uiPriority w:val="99"/>
    <w:semiHidden/>
    <w:qFormat/>
    <w:rPr>
      <w:rFonts w:ascii="Segoe UI" w:hAnsi="Segoe UI" w:eastAsia="NSimSun" w:cs="Mangal"/>
      <w:kern w:val="2"/>
      <w:sz w:val="18"/>
      <w:szCs w:val="16"/>
      <w:lang w:eastAsia="zh-CN" w:bidi="hi-IN"/>
    </w:rPr>
  </w:style>
  <w:style w:type="character" w:styleId="17" w:customStyle="1">
    <w:name w:val="Неразрешенное упоминание1"/>
    <w:basedOn w:val="DefaultParagraphFont"/>
    <w:uiPriority w:val="99"/>
    <w:semiHidden/>
    <w:unhideWhenUsed/>
    <w:qFormat/>
    <w:rPr>
      <w:color w:val="605E5C"/>
      <w:shd w:fill="E1DFDD" w:val="clear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8"/>
    <w:autoRedefine/>
    <w:uiPriority w:val="0"/>
    <w:qFormat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next w:val="Normal"/>
    <w:autoRedefine/>
    <w:uiPriority w:val="35"/>
    <w:semiHidden/>
    <w:unhideWhenUsed/>
    <w:qFormat/>
    <w:pPr/>
    <w:rPr>
      <w:b/>
      <w:bCs/>
      <w:sz w:val="18"/>
      <w:szCs w:val="18"/>
    </w:rPr>
  </w:style>
  <w:style w:type="paragraph" w:styleId="Style12">
    <w:name w:val="Указатель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Style10"/>
    <w:autoRedefine/>
    <w:uiPriority w:val="99"/>
    <w:semiHidden/>
    <w:unhideWhenUsed/>
    <w:qFormat/>
    <w:pPr/>
    <w:rPr>
      <w:rFonts w:ascii="Segoe UI" w:hAnsi="Segoe UI" w:cs="Mangal"/>
      <w:sz w:val="18"/>
      <w:szCs w:val="16"/>
    </w:rPr>
  </w:style>
  <w:style w:type="paragraph" w:styleId="Title">
    <w:name w:val="Title"/>
    <w:basedOn w:val="Normal"/>
    <w:next w:val="Normal"/>
    <w:link w:val="Style5"/>
    <w:autoRedefine/>
    <w:uiPriority w:val="10"/>
    <w:qFormat/>
    <w:pPr/>
    <w:rPr>
      <w:rFonts w:ascii="Cambria" w:hAnsi="Cambria" w:eastAsia="" w:cs="" w:asciiTheme="majorHAnsi" w:cstheme="majorBidi" w:eastAsiaTheme="majorEastAsia" w:hAnsiTheme="majorHAnsi"/>
      <w:b/>
      <w:bCs/>
      <w:i/>
      <w:iCs/>
      <w:spacing w:val="10"/>
      <w:sz w:val="60"/>
      <w:szCs w:val="60"/>
    </w:rPr>
  </w:style>
  <w:style w:type="paragraph" w:styleId="Subtitle">
    <w:name w:val="Subtitle"/>
    <w:basedOn w:val="Normal"/>
    <w:next w:val="Normal"/>
    <w:link w:val="Style6"/>
    <w:autoRedefine/>
    <w:uiPriority w:val="11"/>
    <w:qFormat/>
    <w:pPr>
      <w:spacing w:before="0" w:after="320"/>
      <w:jc w:val="right"/>
    </w:pPr>
    <w:rPr>
      <w:i/>
      <w:iCs/>
      <w:color w:themeColor="text1" w:themeTint="80" w:val="808080"/>
      <w:spacing w:val="1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NoSpacing">
    <w:name w:val="No Spacing"/>
    <w:basedOn w:val="Normal"/>
    <w:link w:val="Style9"/>
    <w:autoRedefine/>
    <w:uiPriority w:val="1"/>
    <w:qFormat/>
    <w:pPr/>
    <w:rPr/>
  </w:style>
  <w:style w:type="paragraph" w:styleId="ListParagraph">
    <w:name w:val="List Paragraph"/>
    <w:basedOn w:val="Normal"/>
    <w:autoRedefine/>
    <w:uiPriority w:val="34"/>
    <w:qFormat/>
    <w:pPr>
      <w:spacing w:before="0" w:after="0"/>
      <w:ind w:left="720"/>
      <w:contextualSpacing/>
    </w:pPr>
    <w:rPr/>
  </w:style>
  <w:style w:type="paragraph" w:styleId="Quote">
    <w:name w:val="Quote"/>
    <w:basedOn w:val="Normal"/>
    <w:next w:val="Normal"/>
    <w:link w:val="21"/>
    <w:autoRedefine/>
    <w:uiPriority w:val="29"/>
    <w:qFormat/>
    <w:pPr/>
    <w:rPr>
      <w:color w:themeColor="text1" w:themeTint="a6" w:val="595959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IntenseQuote">
    <w:name w:val="Intense Quote"/>
    <w:basedOn w:val="Normal"/>
    <w:next w:val="Normal"/>
    <w:link w:val="Style7"/>
    <w:autoRedefine/>
    <w:uiPriority w:val="30"/>
    <w:qFormat/>
    <w:pPr>
      <w:spacing w:before="320" w:after="480"/>
      <w:ind w:left="720" w:right="720"/>
      <w:jc w:val="center"/>
    </w:pPr>
    <w:rPr>
      <w:rFonts w:ascii="Cambria" w:hAnsi="Cambria" w:eastAsia="" w:cs="" w:asciiTheme="majorHAnsi" w:cstheme="majorBidi" w:eastAsiaTheme="majorEastAsia" w:hAnsiTheme="majorHAnsi"/>
      <w:i/>
      <w:iCs/>
      <w:sz w:val="20"/>
      <w:szCs w:val="20"/>
    </w:rPr>
  </w:style>
  <w:style w:type="paragraph" w:styleId="18" w:customStyle="1">
    <w:name w:val="Заголовок оглавления1"/>
    <w:basedOn w:val="Heading1"/>
    <w:next w:val="Normal"/>
    <w:autoRedefine/>
    <w:uiPriority w:val="39"/>
    <w:semiHidden/>
    <w:unhideWhenUsed/>
    <w:qFormat/>
    <w:pPr>
      <w:outlineLvl w:val="9"/>
    </w:pPr>
    <w:rPr>
      <w:lang w:bidi="en-US"/>
    </w:rPr>
  </w:style>
  <w:style w:type="paragraph" w:styleId="Style13" w:customStyle="1">
    <w:name w:val="Содержимое таблицы"/>
    <w:basedOn w:val="Normal"/>
    <w:autoRedefine/>
    <w:uiPriority w:val="0"/>
    <w:qFormat/>
    <w:pPr>
      <w:suppressLineNumbers/>
    </w:pPr>
    <w:rPr/>
  </w:style>
  <w:style w:type="paragraph" w:styleId="211" w:customStyle="1">
    <w:name w:val="Основной текст 21"/>
    <w:basedOn w:val="Normal"/>
    <w:autoRedefine/>
    <w:uiPriority w:val="0"/>
    <w:qFormat/>
    <w:pPr/>
    <w:rPr>
      <w:rFonts w:ascii="Times New Roman" w:hAnsi="Times New Roman" w:cs="Times New Roman"/>
      <w:lang w:val="zh-CN"/>
    </w:rPr>
  </w:style>
  <w:style w:type="paragraph" w:styleId="FR1" w:customStyle="1">
    <w:name w:val="FR1"/>
    <w:autoRedefine/>
    <w:uiPriority w:val="0"/>
    <w:qFormat/>
    <w:pPr>
      <w:widowControl w:val="false"/>
      <w:suppressAutoHyphens w:val="true"/>
      <w:bidi w:val="0"/>
      <w:spacing w:before="0" w:after="0"/>
      <w:ind w:firstLine="120"/>
      <w:jc w:val="both"/>
    </w:pPr>
    <w:rPr>
      <w:rFonts w:ascii="Times New Roman" w:hAnsi="Times New Roman" w:eastAsia="Times New Roman" w:cs="Times New Roman"/>
      <w:b/>
      <w:i/>
      <w:color w:val="auto"/>
      <w:kern w:val="2"/>
      <w:sz w:val="16"/>
      <w:szCs w:val="20"/>
      <w:lang w:val="ru-RU" w:eastAsia="zh-CN" w:bidi="ar-SA"/>
    </w:rPr>
  </w:style>
  <w:style w:type="paragraph" w:styleId="212" w:customStyle="1">
    <w:name w:val="Основной текст с отступом 21"/>
    <w:basedOn w:val="Normal"/>
    <w:uiPriority w:val="0"/>
    <w:qFormat/>
    <w:pPr/>
    <w:rPr>
      <w:rFonts w:ascii="Times New Roman" w:hAnsi="Times New Roman" w:cs="Times New Roman"/>
      <w:lang w:val="zh-CN"/>
    </w:rPr>
  </w:style>
  <w:style w:type="paragraph" w:styleId="ConsPlusNormal" w:customStyle="1">
    <w:name w:val="ConsPlusNormal"/>
    <w:autoRedefine/>
    <w:uiPriority w:val="0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2"/>
      <w:sz w:val="20"/>
      <w:szCs w:val="20"/>
      <w:lang w:val="ru-RU" w:eastAsia="zh-CN" w:bidi="ar-SA"/>
    </w:rPr>
  </w:style>
  <w:style w:type="table" w:default="1" w:styleId="12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21">
    <w:name w:val="Table Grid"/>
    <w:basedOn w:val="12"/>
    <w:uiPriority w:val="59"/>
    <w:qFormat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chuguevsky.ru/" TargetMode="External"/><Relationship Id="rId3" Type="http://schemas.openxmlformats.org/officeDocument/2006/relationships/hyperlink" Target="http://www.roseltorg.ru/" TargetMode="External"/><Relationship Id="rId4" Type="http://schemas.openxmlformats.org/officeDocument/2006/relationships/hyperlink" Target="https://catalog.lot-online.ru/tel:88007775757" TargetMode="External"/><Relationship Id="rId5" Type="http://schemas.openxmlformats.org/officeDocument/2006/relationships/hyperlink" Target="https://yandex.ru/map-widget/v1/-/tel:+78127775757" TargetMode="External"/><Relationship Id="rId6" Type="http://schemas.openxmlformats.org/officeDocument/2006/relationships/hyperlink" Target="http://www.roseltorg.ru/" TargetMode="External"/><Relationship Id="rId7" Type="http://schemas.openxmlformats.org/officeDocument/2006/relationships/hyperlink" Target="http://www.torgi.gov.ru/" TargetMode="External"/><Relationship Id="rId8" Type="http://schemas.openxmlformats.org/officeDocument/2006/relationships/hyperlink" Target="http://www.roseltorg.ru/" TargetMode="External"/><Relationship Id="rId9" Type="http://schemas.openxmlformats.org/officeDocument/2006/relationships/hyperlink" Target="http://www.torgi.gov.ru/" TargetMode="External"/><Relationship Id="rId10" Type="http://schemas.openxmlformats.org/officeDocument/2006/relationships/hyperlink" Target="http://www.roseltorg.ru/" TargetMode="External"/><Relationship Id="rId11" Type="http://schemas.openxmlformats.org/officeDocument/2006/relationships/hyperlink" Target="http://www.torgi.gov.ru/" TargetMode="External"/><Relationship Id="rId12" Type="http://schemas.openxmlformats.org/officeDocument/2006/relationships/hyperlink" Target="http://www.roseltorg.ru/" TargetMode="External"/><Relationship Id="rId13" Type="http://schemas.openxmlformats.org/officeDocument/2006/relationships/hyperlink" Target="http://www.torgi.gov.ru/" TargetMode="External"/><Relationship Id="rId14" Type="http://schemas.openxmlformats.org/officeDocument/2006/relationships/hyperlink" Target="http://www.roseltorg.ru/" TargetMode="External"/><Relationship Id="rId15" Type="http://schemas.openxmlformats.org/officeDocument/2006/relationships/hyperlink" Target="http://www.torgi.gov.ru/" TargetMode="External"/><Relationship Id="rId16" Type="http://schemas.openxmlformats.org/officeDocument/2006/relationships/hyperlink" Target="http://www.torgi.gov.ru/" TargetMode="External"/><Relationship Id="rId17" Type="http://schemas.openxmlformats.org/officeDocument/2006/relationships/hyperlink" Target="http://www.roseltorg.ru/" TargetMode="External"/><Relationship Id="rId18" Type="http://schemas.openxmlformats.org/officeDocument/2006/relationships/numbering" Target="numbering.xml"/><Relationship Id="rId19" Type="http://schemas.openxmlformats.org/officeDocument/2006/relationships/fontTable" Target="fontTable.xml"/><Relationship Id="rId20" Type="http://schemas.openxmlformats.org/officeDocument/2006/relationships/settings" Target="settings.xml"/><Relationship Id="rId2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Application>LibreOffice/24.8.4.2$Windows_X86_64 LibreOffice_project/bb3cfa12c7b1bf994ecc5649a80400d06cd71002</Application>
  <AppVersion>15.0000</AppVersion>
  <Pages>6</Pages>
  <Words>1984</Words>
  <Characters>14032</Characters>
  <CharactersWithSpaces>16000</CharactersWithSpaces>
  <Paragraphs>111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2021-08-27T04:35:00Z</dcterms:created>
  <dc:creator>KuzmenchukNV</dc:creator>
  <dc:description/>
  <dc:language>ru-RU</dc:language>
  <cp:lastModifiedBy/>
  <cp:lastPrinted>2025-01-30T16:13:28Z</cp:lastPrinted>
  <dcterms:modified xsi:type="dcterms:W3CDTF">2025-02-11T11:56:56Z</dcterms:modified>
  <cp:revision>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0C746EDABCBB4FF1862D1542CCEB0E2D</vt:lpwstr>
  </property>
  <property fmtid="{D5CDD505-2E9C-101B-9397-08002B2CF9AE}" pid="3" name="KSOProductBuildVer">
    <vt:lpwstr>1049-12.2.0.19307</vt:lpwstr>
  </property>
</Properties>
</file>