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24г.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</w:p>
    <w:p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4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 xml:space="preserve"> администрации Анучинского муниципального округа.</w:t>
      </w:r>
    </w:p>
    <w:p>
      <w:pPr>
        <w:pStyle w:val="4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Общественные обсуждения назначены распоряжением администрации Анучинского муниципального округа от </w:t>
      </w:r>
      <w:r>
        <w:rPr>
          <w:rFonts w:hint="default"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  <w:t>______________________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https://анучинский.рф/administraciya/munitsipalnyy-kontrol/kontrol-v-oblasti-blagoustroystva/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https://анучинский.рф/administraciya/munitsipalnyy-kontrol/kontrol-v-oblasti-blagoustroystva/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15.02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ind w:firstLine="709"/>
        <w:contextualSpacing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https://анучинский.рф/administraciya/munitsipalnyy-kontrol/kontrol-v-oblasti-blagoustroystva/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/>
    <w:sectPr>
      <w:pgSz w:w="11906" w:h="16838"/>
      <w:pgMar w:top="1440" w:right="706" w:bottom="9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96832CD"/>
    <w:rsid w:val="0BF521DF"/>
    <w:rsid w:val="188B4A7E"/>
    <w:rsid w:val="2A11669C"/>
    <w:rsid w:val="487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148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MehovskiyVV</cp:lastModifiedBy>
  <cp:lastPrinted>2022-12-09T01:03:00Z</cp:lastPrinted>
  <dcterms:modified xsi:type="dcterms:W3CDTF">2023-11-29T05:07:26Z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C3E328E241AB4ACB952D0DE85EDFF781</vt:lpwstr>
  </property>
</Properties>
</file>