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jc w:val="center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drawing>
          <wp:inline distT="0" distB="0" distL="114300" distR="114300">
            <wp:extent cx="628015" cy="905510"/>
            <wp:effectExtent l="0" t="0" r="635" b="889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8015" cy="90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before="227"/>
        <w:jc w:val="center"/>
        <w:rPr>
          <w:rFonts w:hint="default" w:ascii="Times New Roman" w:hAnsi="Times New Roman" w:cs="Times New Roman"/>
          <w:b/>
          <w:bCs/>
          <w:color w:val="000000"/>
          <w:spacing w:val="20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color w:val="000000"/>
          <w:spacing w:val="20"/>
          <w:sz w:val="28"/>
          <w:szCs w:val="28"/>
        </w:rPr>
        <w:t>АДМИНИСТРАЦИЯ</w:t>
      </w:r>
    </w:p>
    <w:p>
      <w:pPr>
        <w:shd w:val="clear" w:color="auto" w:fill="FFFFFF"/>
        <w:jc w:val="center"/>
        <w:rPr>
          <w:rFonts w:hint="default" w:ascii="Times New Roman" w:hAnsi="Times New Roman" w:cs="Times New Roman"/>
          <w:b/>
          <w:bCs/>
          <w:color w:val="000000"/>
          <w:spacing w:val="20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color w:val="000000"/>
          <w:spacing w:val="20"/>
          <w:sz w:val="28"/>
          <w:szCs w:val="28"/>
        </w:rPr>
        <w:t xml:space="preserve"> АНУЧИНСКОГО МУНИЦИПАЛЬНОГО ОКРУГА</w:t>
      </w:r>
    </w:p>
    <w:p>
      <w:pPr>
        <w:shd w:val="clear" w:color="auto" w:fill="FFFFFF"/>
        <w:tabs>
          <w:tab w:val="left" w:pos="5050"/>
        </w:tabs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ПРИМОРСКОГО КРАЯ</w:t>
      </w:r>
    </w:p>
    <w:p>
      <w:pPr>
        <w:shd w:val="clear" w:color="auto" w:fill="FFFFFF"/>
        <w:tabs>
          <w:tab w:val="left" w:pos="5050"/>
        </w:tabs>
        <w:rPr>
          <w:rFonts w:hint="default" w:ascii="Times New Roman" w:hAnsi="Times New Roman" w:cs="Times New Roman"/>
          <w:sz w:val="28"/>
          <w:szCs w:val="28"/>
        </w:rPr>
      </w:pPr>
    </w:p>
    <w:p>
      <w:pPr>
        <w:shd w:val="clear" w:color="auto" w:fill="FFFFFF"/>
        <w:jc w:val="center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П О С Т А Н О В Л Е Н И Е</w:t>
      </w:r>
    </w:p>
    <w:p>
      <w:pPr>
        <w:shd w:val="clear" w:color="auto" w:fill="FFFFFF"/>
        <w:jc w:val="center"/>
        <w:rPr>
          <w:rFonts w:hint="default" w:ascii="Times New Roman" w:hAnsi="Times New Roman" w:cs="Times New Roman"/>
          <w:color w:val="000000"/>
          <w:sz w:val="28"/>
          <w:szCs w:val="28"/>
        </w:rPr>
      </w:pPr>
    </w:p>
    <w:p>
      <w:pPr>
        <w:shd w:val="clear" w:color="auto" w:fill="FFFFFF"/>
        <w:ind w:left="0" w:leftChars="0" w:firstLine="0" w:firstLineChars="0"/>
        <w:jc w:val="left"/>
        <w:rPr>
          <w:rFonts w:hint="default"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  <w:lang w:val="en-US"/>
        </w:rPr>
        <w:t>28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.07.2022г.                                с. Анучино        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en-US"/>
        </w:rPr>
        <w:t xml:space="preserve">        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                            №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en-US"/>
        </w:rPr>
        <w:t>692</w:t>
      </w:r>
    </w:p>
    <w:p>
      <w:pPr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7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руководства по соблюдению </w:t>
      </w:r>
    </w:p>
    <w:p>
      <w:pPr>
        <w:widowControl/>
        <w:jc w:val="center"/>
        <w:rPr>
          <w:rFonts w:hint="default" w:ascii="Times New Roman" w:hAnsi="Times New Roman" w:cs="Times New Roman" w:eastAsiaTheme="minorHAnsi"/>
          <w:b/>
          <w:color w:val="auto"/>
          <w:sz w:val="28"/>
          <w:szCs w:val="28"/>
          <w:lang w:val="ru-RU" w:eastAsia="en-US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обязательных требований, предъявляемых при осуществлении муниципального земельного контроля </w:t>
      </w:r>
      <w:r>
        <w:rPr>
          <w:rFonts w:ascii="Times New Roman" w:hAnsi="Times New Roman" w:cs="Times New Roman" w:eastAsiaTheme="minorHAnsi"/>
          <w:b/>
          <w:color w:val="auto"/>
          <w:sz w:val="28"/>
          <w:szCs w:val="28"/>
          <w:lang w:eastAsia="en-US"/>
        </w:rPr>
        <w:t xml:space="preserve">на территории </w:t>
      </w:r>
      <w:r>
        <w:rPr>
          <w:rFonts w:ascii="Times New Roman" w:hAnsi="Times New Roman" w:cs="Times New Roman" w:eastAsiaTheme="minorHAnsi"/>
          <w:b/>
          <w:color w:val="auto"/>
          <w:sz w:val="28"/>
          <w:szCs w:val="28"/>
          <w:lang w:val="ru-RU" w:eastAsia="en-US"/>
        </w:rPr>
        <w:t>Анучинского</w:t>
      </w:r>
      <w:r>
        <w:rPr>
          <w:rFonts w:hint="default" w:ascii="Times New Roman" w:hAnsi="Times New Roman" w:cs="Times New Roman" w:eastAsiaTheme="minorHAnsi"/>
          <w:b/>
          <w:color w:val="auto"/>
          <w:sz w:val="28"/>
          <w:szCs w:val="28"/>
          <w:lang w:val="ru-RU" w:eastAsia="en-US"/>
        </w:rPr>
        <w:t xml:space="preserve"> </w:t>
      </w:r>
      <w:r>
        <w:rPr>
          <w:rFonts w:ascii="Times New Roman" w:hAnsi="Times New Roman" w:cs="Times New Roman" w:eastAsiaTheme="minorHAnsi"/>
          <w:b/>
          <w:color w:val="auto"/>
          <w:sz w:val="28"/>
          <w:szCs w:val="28"/>
          <w:lang w:eastAsia="en-US"/>
        </w:rPr>
        <w:t xml:space="preserve">муниципального округа </w:t>
      </w:r>
      <w:r>
        <w:rPr>
          <w:rFonts w:ascii="Times New Roman" w:hAnsi="Times New Roman" w:cs="Times New Roman" w:eastAsiaTheme="minorHAnsi"/>
          <w:b/>
          <w:color w:val="auto"/>
          <w:sz w:val="28"/>
          <w:szCs w:val="28"/>
          <w:lang w:val="ru-RU" w:eastAsia="en-US"/>
        </w:rPr>
        <w:t>Приморского</w:t>
      </w:r>
      <w:r>
        <w:rPr>
          <w:rFonts w:hint="default" w:ascii="Times New Roman" w:hAnsi="Times New Roman" w:cs="Times New Roman" w:eastAsiaTheme="minorHAnsi"/>
          <w:b/>
          <w:color w:val="auto"/>
          <w:sz w:val="28"/>
          <w:szCs w:val="28"/>
          <w:lang w:val="ru-RU" w:eastAsia="en-US"/>
        </w:rPr>
        <w:t xml:space="preserve"> края</w:t>
      </w:r>
    </w:p>
    <w:bookmarkEnd w:id="0"/>
    <w:p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</w:p>
    <w:p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hint="default" w:ascii="Times New Roman" w:hAnsi="Times New Roman" w:cs="Times New Roman"/>
          <w:color w:val="000000"/>
          <w:spacing w:val="-7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r>
        <w:fldChar w:fldCharType="begin"/>
      </w:r>
      <w:r>
        <w:instrText xml:space="preserve"> HYPERLINK "consultantplus://offline/ref=F562DD0C6A56CC6B621DE90F2AFCD5324D514B1AE61F8AD38ADEE18FEA672F5ED63E4E345E40T4W" </w:instrText>
      </w:r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>законом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РФ от 06.10.2003</w:t>
      </w:r>
      <w:r>
        <w:rPr>
          <w:rFonts w:ascii="Times New Roman" w:hAnsi="Times New Roman" w:cs="Times New Roman"/>
          <w:sz w:val="28"/>
          <w:szCs w:val="28"/>
          <w:lang w:val="ru-RU"/>
        </w:rPr>
        <w:t>г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№131-ФЗ «Об общих принципах организации местного самоуправления в Российской Федерации», Федеральным законом от 31.07.2020</w:t>
      </w:r>
      <w:r>
        <w:rPr>
          <w:rFonts w:ascii="Times New Roman" w:hAnsi="Times New Roman" w:cs="Times New Roman"/>
          <w:sz w:val="28"/>
          <w:szCs w:val="28"/>
          <w:lang w:val="ru-RU"/>
        </w:rPr>
        <w:t>г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№248-ФЗ «О государственном контроле (надзоре) и муниципальном контроле в Российской Федерации», руководствуясь Федеральным законом от 31.07.2020</w:t>
      </w:r>
      <w:r>
        <w:rPr>
          <w:rFonts w:ascii="Times New Roman" w:hAnsi="Times New Roman" w:cs="Times New Roman"/>
          <w:sz w:val="28"/>
          <w:szCs w:val="28"/>
          <w:lang w:val="ru-RU"/>
        </w:rPr>
        <w:t>г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№247-ФЗ «Об обязательных требованиях в Российской Федерации»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, </w:t>
      </w:r>
      <w:r>
        <w:rPr>
          <w:rFonts w:hint="default" w:ascii="Times New Roman" w:hAnsi="Times New Roman" w:cs="Times New Roman"/>
          <w:color w:val="000000"/>
          <w:spacing w:val="-7"/>
          <w:sz w:val="28"/>
          <w:szCs w:val="28"/>
        </w:rPr>
        <w:t>на основании Устава Анучинского муниципального округа</w:t>
      </w:r>
      <w:r>
        <w:rPr>
          <w:rFonts w:hint="default" w:ascii="Times New Roman" w:hAnsi="Times New Roman" w:cs="Times New Roman"/>
          <w:color w:val="000000"/>
          <w:spacing w:val="-7"/>
          <w:sz w:val="28"/>
          <w:szCs w:val="28"/>
          <w:lang w:val="ru-RU"/>
        </w:rPr>
        <w:t xml:space="preserve"> Приморского края,</w:t>
      </w:r>
      <w:r>
        <w:rPr>
          <w:rFonts w:hint="default" w:ascii="Times New Roman" w:hAnsi="Times New Roman" w:cs="Times New Roman"/>
          <w:color w:val="000000"/>
          <w:spacing w:val="-7"/>
          <w:sz w:val="28"/>
          <w:szCs w:val="28"/>
        </w:rPr>
        <w:t xml:space="preserve"> администрация Анучинского муниципального округа</w:t>
      </w:r>
      <w:r>
        <w:rPr>
          <w:rFonts w:hint="default" w:ascii="Times New Roman" w:hAnsi="Times New Roman" w:cs="Times New Roman"/>
          <w:color w:val="000000"/>
          <w:spacing w:val="-7"/>
          <w:sz w:val="28"/>
          <w:szCs w:val="28"/>
          <w:lang w:val="ru-RU"/>
        </w:rPr>
        <w:t xml:space="preserve"> Приморского края</w:t>
      </w:r>
    </w:p>
    <w:p>
      <w:pPr>
        <w:ind w:firstLine="851"/>
        <w:jc w:val="both"/>
        <w:rPr>
          <w:rFonts w:hint="default" w:ascii="Times New Roman" w:hAnsi="Times New Roman" w:cs="Times New Roman"/>
          <w:color w:val="000000"/>
          <w:spacing w:val="-7"/>
          <w:sz w:val="28"/>
          <w:szCs w:val="28"/>
        </w:rPr>
      </w:pPr>
    </w:p>
    <w:p>
      <w:pPr>
        <w:rPr>
          <w:rFonts w:hint="default" w:ascii="Times New Roman" w:hAnsi="Times New Roman" w:cs="Times New Roman"/>
          <w:bCs/>
          <w:sz w:val="28"/>
          <w:szCs w:val="28"/>
        </w:rPr>
      </w:pPr>
      <w:r>
        <w:rPr>
          <w:rFonts w:hint="default" w:ascii="Times New Roman" w:hAnsi="Times New Roman" w:cs="Times New Roman"/>
          <w:bCs/>
          <w:sz w:val="28"/>
          <w:szCs w:val="28"/>
        </w:rPr>
        <w:t>ПОСТАНОВЛЯЕТ:</w:t>
      </w:r>
    </w:p>
    <w:p>
      <w:pPr>
        <w:pStyle w:val="6"/>
        <w:ind w:left="709" w:hanging="425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8"/>
        <w:spacing w:line="360" w:lineRule="auto"/>
        <w:ind w:left="0" w:leftChars="0" w:firstLine="0" w:firstLineChars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1. Утвердить руководство по соблюдению обязательных требований, предъявляемых при осуществлении муниципального земельного контроля </w:t>
      </w:r>
      <w:r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на территории </w:t>
      </w:r>
      <w:r>
        <w:rPr>
          <w:rFonts w:ascii="Times New Roman" w:hAnsi="Times New Roman" w:cs="Times New Roman"/>
          <w:b w:val="0"/>
          <w:sz w:val="28"/>
          <w:szCs w:val="28"/>
          <w:lang w:val="ru-RU" w:eastAsia="en-US"/>
        </w:rPr>
        <w:t>Анучинского</w:t>
      </w:r>
      <w:r>
        <w:rPr>
          <w:rFonts w:hint="default" w:ascii="Times New Roman" w:hAnsi="Times New Roman" w:cs="Times New Roman"/>
          <w:b w:val="0"/>
          <w:sz w:val="28"/>
          <w:szCs w:val="28"/>
          <w:lang w:val="ru-RU" w:eastAsia="en-US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муниципального округа </w:t>
      </w:r>
      <w:r>
        <w:rPr>
          <w:rFonts w:ascii="Times New Roman" w:hAnsi="Times New Roman" w:cs="Times New Roman"/>
          <w:b w:val="0"/>
          <w:sz w:val="28"/>
          <w:szCs w:val="28"/>
          <w:lang w:val="ru-RU" w:eastAsia="en-US"/>
        </w:rPr>
        <w:t>Приморского</w:t>
      </w:r>
      <w:r>
        <w:rPr>
          <w:rFonts w:hint="default" w:ascii="Times New Roman" w:hAnsi="Times New Roman" w:cs="Times New Roman"/>
          <w:b w:val="0"/>
          <w:sz w:val="28"/>
          <w:szCs w:val="28"/>
          <w:lang w:val="ru-RU" w:eastAsia="en-US"/>
        </w:rPr>
        <w:t xml:space="preserve"> края </w:t>
      </w:r>
      <w:r>
        <w:rPr>
          <w:rFonts w:ascii="Times New Roman" w:hAnsi="Times New Roman" w:cs="Times New Roman"/>
          <w:b w:val="0"/>
          <w:sz w:val="28"/>
          <w:szCs w:val="28"/>
        </w:rPr>
        <w:t>(прилагается).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 w:val="0"/>
        <w:autoSpaceDN/>
        <w:bidi w:val="0"/>
        <w:adjustRightInd/>
        <w:snapToGrid/>
        <w:spacing w:after="0" w:line="360" w:lineRule="auto"/>
        <w:ind w:left="0" w:leftChars="0" w:firstLine="0" w:firstLineChars="0"/>
        <w:jc w:val="both"/>
        <w:textAlignment w:val="auto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2. Общему отделу администрации Анучинского муниципального округа (Бурдейной С.В.) настоящее постановление разместить на официальном сайте администрации Анучинского муниципального округа, в информационно-телекоммуникационной сети «Интернет».</w:t>
      </w:r>
    </w:p>
    <w:p>
      <w:pPr>
        <w:spacing w:line="360" w:lineRule="auto"/>
        <w:ind w:left="0" w:leftChars="0" w:firstLine="0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>. Контроль за исполнением настоящего постановления оставляю за собой.</w:t>
      </w:r>
    </w:p>
    <w:p>
      <w:pPr>
        <w:pStyle w:val="6"/>
        <w:ind w:firstLine="0"/>
        <w:rPr>
          <w:rFonts w:hint="default" w:ascii="Times New Roman" w:hAnsi="Times New Roman" w:cs="Times New Roman"/>
          <w:sz w:val="28"/>
          <w:szCs w:val="28"/>
        </w:rPr>
      </w:pPr>
    </w:p>
    <w:p>
      <w:pPr>
        <w:ind w:left="5670"/>
        <w:jc w:val="right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Глава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Анучинского 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муниципального округа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       </w:t>
      </w:r>
      <w:r>
        <w:rPr>
          <w:rFonts w:hint="default" w:ascii="Times New Roman" w:hAnsi="Times New Roman" w:cs="Times New Roman"/>
          <w:sz w:val="28"/>
          <w:szCs w:val="28"/>
        </w:rPr>
        <w:t xml:space="preserve">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</w:t>
      </w:r>
      <w:r>
        <w:rPr>
          <w:rFonts w:hint="default" w:ascii="Times New Roman" w:hAnsi="Times New Roman" w:cs="Times New Roman"/>
          <w:sz w:val="28"/>
          <w:szCs w:val="28"/>
        </w:rPr>
        <w:t xml:space="preserve"> С.А.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Понуровский</w:t>
      </w:r>
    </w:p>
    <w:p>
      <w:pPr>
        <w:rPr>
          <w:szCs w:val="26"/>
        </w:rPr>
      </w:pPr>
    </w:p>
    <w:p>
      <w:pPr>
        <w:ind w:left="5670"/>
        <w:jc w:val="right"/>
        <w:rPr>
          <w:szCs w:val="26"/>
        </w:rPr>
      </w:pPr>
    </w:p>
    <w:p>
      <w:pPr>
        <w:ind w:left="5670"/>
        <w:jc w:val="right"/>
        <w:rPr>
          <w:szCs w:val="26"/>
        </w:rPr>
      </w:pPr>
    </w:p>
    <w:p>
      <w:pPr>
        <w:ind w:left="5670"/>
        <w:jc w:val="right"/>
        <w:rPr>
          <w:szCs w:val="26"/>
        </w:rPr>
      </w:pPr>
    </w:p>
    <w:p>
      <w:pPr>
        <w:ind w:left="5670"/>
        <w:jc w:val="right"/>
        <w:rPr>
          <w:szCs w:val="26"/>
        </w:rPr>
      </w:pPr>
    </w:p>
    <w:p>
      <w:pPr>
        <w:ind w:left="5670"/>
        <w:jc w:val="right"/>
        <w:rPr>
          <w:szCs w:val="26"/>
        </w:rPr>
      </w:pPr>
    </w:p>
    <w:p>
      <w:pPr>
        <w:ind w:left="5670"/>
        <w:jc w:val="right"/>
        <w:rPr>
          <w:szCs w:val="26"/>
        </w:rPr>
      </w:pPr>
    </w:p>
    <w:p>
      <w:pPr>
        <w:ind w:left="5670"/>
        <w:jc w:val="right"/>
        <w:rPr>
          <w:szCs w:val="26"/>
        </w:rPr>
      </w:pPr>
    </w:p>
    <w:p>
      <w:pPr>
        <w:ind w:left="5670"/>
        <w:jc w:val="right"/>
        <w:rPr>
          <w:szCs w:val="26"/>
        </w:rPr>
      </w:pPr>
    </w:p>
    <w:p>
      <w:pPr>
        <w:ind w:left="5670"/>
        <w:jc w:val="right"/>
        <w:rPr>
          <w:szCs w:val="26"/>
        </w:rPr>
      </w:pPr>
    </w:p>
    <w:p>
      <w:pPr>
        <w:ind w:left="5670"/>
        <w:jc w:val="right"/>
        <w:rPr>
          <w:szCs w:val="26"/>
        </w:rPr>
      </w:pPr>
    </w:p>
    <w:p>
      <w:pPr>
        <w:ind w:left="5670"/>
        <w:jc w:val="right"/>
        <w:rPr>
          <w:szCs w:val="26"/>
        </w:rPr>
      </w:pPr>
    </w:p>
    <w:p>
      <w:pPr>
        <w:ind w:left="5670"/>
        <w:jc w:val="right"/>
        <w:rPr>
          <w:szCs w:val="26"/>
        </w:rPr>
      </w:pPr>
    </w:p>
    <w:p>
      <w:pPr>
        <w:ind w:left="5670"/>
        <w:jc w:val="right"/>
        <w:rPr>
          <w:szCs w:val="26"/>
        </w:rPr>
      </w:pPr>
    </w:p>
    <w:p>
      <w:pPr>
        <w:ind w:left="5670"/>
        <w:jc w:val="right"/>
        <w:rPr>
          <w:szCs w:val="26"/>
        </w:rPr>
      </w:pPr>
    </w:p>
    <w:p>
      <w:pPr>
        <w:ind w:left="5670"/>
        <w:jc w:val="right"/>
        <w:rPr>
          <w:szCs w:val="26"/>
        </w:rPr>
      </w:pPr>
    </w:p>
    <w:p>
      <w:pPr>
        <w:ind w:left="5670"/>
        <w:jc w:val="right"/>
        <w:rPr>
          <w:szCs w:val="26"/>
        </w:rPr>
      </w:pPr>
    </w:p>
    <w:p>
      <w:pPr>
        <w:ind w:left="5670"/>
        <w:jc w:val="right"/>
        <w:rPr>
          <w:szCs w:val="26"/>
        </w:rPr>
      </w:pPr>
    </w:p>
    <w:p>
      <w:pPr>
        <w:ind w:left="5670"/>
        <w:jc w:val="right"/>
        <w:rPr>
          <w:szCs w:val="26"/>
        </w:rPr>
      </w:pPr>
    </w:p>
    <w:p>
      <w:pPr>
        <w:ind w:left="5670"/>
        <w:jc w:val="right"/>
        <w:rPr>
          <w:szCs w:val="26"/>
        </w:rPr>
      </w:pPr>
    </w:p>
    <w:p>
      <w:pPr>
        <w:ind w:left="5670"/>
        <w:jc w:val="right"/>
        <w:rPr>
          <w:szCs w:val="26"/>
        </w:rPr>
      </w:pPr>
    </w:p>
    <w:p>
      <w:pPr>
        <w:ind w:left="5670"/>
        <w:jc w:val="right"/>
        <w:rPr>
          <w:szCs w:val="26"/>
        </w:rPr>
      </w:pPr>
    </w:p>
    <w:p>
      <w:pPr>
        <w:ind w:left="5670"/>
        <w:jc w:val="right"/>
        <w:rPr>
          <w:szCs w:val="26"/>
        </w:rPr>
      </w:pPr>
    </w:p>
    <w:p>
      <w:pPr>
        <w:ind w:left="5670"/>
        <w:jc w:val="right"/>
        <w:rPr>
          <w:szCs w:val="26"/>
        </w:rPr>
      </w:pPr>
    </w:p>
    <w:p>
      <w:pPr>
        <w:ind w:left="5670"/>
        <w:jc w:val="right"/>
        <w:rPr>
          <w:szCs w:val="26"/>
        </w:rPr>
      </w:pPr>
    </w:p>
    <w:p>
      <w:pPr>
        <w:ind w:left="5670"/>
        <w:jc w:val="right"/>
        <w:rPr>
          <w:szCs w:val="26"/>
        </w:rPr>
      </w:pPr>
    </w:p>
    <w:p>
      <w:pPr>
        <w:ind w:left="5670"/>
        <w:jc w:val="right"/>
        <w:rPr>
          <w:szCs w:val="26"/>
        </w:rPr>
      </w:pPr>
    </w:p>
    <w:p>
      <w:pPr>
        <w:ind w:left="5670"/>
        <w:jc w:val="right"/>
        <w:rPr>
          <w:szCs w:val="26"/>
        </w:rPr>
      </w:pPr>
    </w:p>
    <w:p>
      <w:pPr>
        <w:ind w:left="5670"/>
        <w:jc w:val="right"/>
        <w:rPr>
          <w:szCs w:val="26"/>
        </w:rPr>
      </w:pPr>
    </w:p>
    <w:p>
      <w:pPr>
        <w:ind w:left="5670"/>
        <w:jc w:val="right"/>
        <w:rPr>
          <w:szCs w:val="26"/>
        </w:rPr>
      </w:pPr>
    </w:p>
    <w:p>
      <w:pPr>
        <w:ind w:left="5670"/>
        <w:jc w:val="right"/>
        <w:rPr>
          <w:szCs w:val="26"/>
        </w:rPr>
      </w:pPr>
    </w:p>
    <w:p>
      <w:pPr>
        <w:ind w:left="5670"/>
        <w:jc w:val="right"/>
        <w:rPr>
          <w:szCs w:val="26"/>
        </w:rPr>
      </w:pPr>
    </w:p>
    <w:p>
      <w:pPr>
        <w:ind w:left="5670"/>
        <w:jc w:val="right"/>
        <w:rPr>
          <w:szCs w:val="26"/>
        </w:rPr>
      </w:pPr>
    </w:p>
    <w:p>
      <w:pPr>
        <w:ind w:left="5670"/>
        <w:jc w:val="right"/>
        <w:rPr>
          <w:szCs w:val="26"/>
        </w:rPr>
      </w:pPr>
    </w:p>
    <w:p>
      <w:pPr>
        <w:ind w:left="5670"/>
        <w:jc w:val="right"/>
        <w:rPr>
          <w:szCs w:val="26"/>
        </w:rPr>
      </w:pPr>
    </w:p>
    <w:p>
      <w:pPr>
        <w:ind w:left="5670"/>
        <w:jc w:val="right"/>
        <w:rPr>
          <w:szCs w:val="26"/>
        </w:rPr>
      </w:pPr>
    </w:p>
    <w:p>
      <w:pPr>
        <w:ind w:left="5670"/>
        <w:jc w:val="right"/>
        <w:rPr>
          <w:szCs w:val="26"/>
        </w:rPr>
      </w:pPr>
    </w:p>
    <w:p>
      <w:pPr>
        <w:ind w:left="5670"/>
        <w:jc w:val="right"/>
        <w:rPr>
          <w:szCs w:val="26"/>
        </w:rPr>
      </w:pPr>
    </w:p>
    <w:p>
      <w:pPr>
        <w:ind w:left="5670"/>
        <w:jc w:val="right"/>
        <w:rPr>
          <w:szCs w:val="26"/>
        </w:rPr>
      </w:pPr>
    </w:p>
    <w:p>
      <w:pPr>
        <w:ind w:left="5670"/>
        <w:jc w:val="right"/>
        <w:rPr>
          <w:szCs w:val="26"/>
        </w:rPr>
      </w:pPr>
    </w:p>
    <w:p>
      <w:pPr>
        <w:ind w:left="5670"/>
        <w:jc w:val="right"/>
        <w:rPr>
          <w:szCs w:val="26"/>
        </w:rPr>
      </w:pPr>
    </w:p>
    <w:p>
      <w:pPr>
        <w:ind w:left="5670"/>
        <w:jc w:val="right"/>
        <w:rPr>
          <w:szCs w:val="26"/>
        </w:rPr>
      </w:pPr>
    </w:p>
    <w:p>
      <w:pPr>
        <w:spacing w:after="0" w:line="360" w:lineRule="auto"/>
        <w:ind w:left="4536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УТВЕРЖДЕНО</w:t>
      </w:r>
    </w:p>
    <w:p>
      <w:pPr>
        <w:spacing w:after="0" w:line="240" w:lineRule="auto"/>
        <w:ind w:left="4536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постановлением администрации </w:t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                                                 Анучинского муниципального округа</w:t>
      </w:r>
    </w:p>
    <w:p>
      <w:pPr>
        <w:spacing w:after="0" w:line="240" w:lineRule="auto"/>
        <w:ind w:left="4536"/>
        <w:jc w:val="center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28.07.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2022г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№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692</w:t>
      </w:r>
    </w:p>
    <w:p>
      <w:pPr>
        <w:spacing w:after="0" w:line="240" w:lineRule="atLeast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p>
      <w:pPr>
        <w:widowControl w:val="0"/>
        <w:spacing w:after="0" w:line="240" w:lineRule="auto"/>
        <w:ind w:left="0" w:leftChars="0" w:firstLine="0" w:firstLineChars="0"/>
        <w:jc w:val="center"/>
        <w:rPr>
          <w:rFonts w:ascii="Times New Roman" w:hAnsi="Times New Roman" w:eastAsia="Calibri" w:cs="Times New Roman"/>
          <w:b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Руководство по соблюдению обязательных требований, предъявляемых при осуществлении муниципального земельного контроля </w:t>
      </w:r>
      <w:r>
        <w:rPr>
          <w:rFonts w:ascii="Times New Roman" w:hAnsi="Times New Roman" w:cs="Times New Roman" w:eastAsiaTheme="minorHAnsi"/>
          <w:b/>
          <w:color w:val="auto"/>
          <w:sz w:val="28"/>
          <w:szCs w:val="28"/>
          <w:lang w:eastAsia="en-US"/>
        </w:rPr>
        <w:t xml:space="preserve">на территории </w:t>
      </w:r>
      <w:r>
        <w:rPr>
          <w:rFonts w:ascii="Times New Roman" w:hAnsi="Times New Roman" w:cs="Times New Roman" w:eastAsiaTheme="minorHAnsi"/>
          <w:b/>
          <w:color w:val="auto"/>
          <w:sz w:val="28"/>
          <w:szCs w:val="28"/>
          <w:lang w:val="ru-RU" w:eastAsia="en-US"/>
        </w:rPr>
        <w:t>Анучинского</w:t>
      </w:r>
      <w:r>
        <w:rPr>
          <w:rFonts w:hint="default" w:ascii="Times New Roman" w:hAnsi="Times New Roman" w:cs="Times New Roman" w:eastAsiaTheme="minorHAnsi"/>
          <w:b/>
          <w:color w:val="auto"/>
          <w:sz w:val="28"/>
          <w:szCs w:val="28"/>
          <w:lang w:val="ru-RU" w:eastAsia="en-US"/>
        </w:rPr>
        <w:t xml:space="preserve"> </w:t>
      </w:r>
      <w:r>
        <w:rPr>
          <w:rFonts w:ascii="Times New Roman" w:hAnsi="Times New Roman" w:cs="Times New Roman" w:eastAsiaTheme="minorHAnsi"/>
          <w:b/>
          <w:color w:val="auto"/>
          <w:sz w:val="28"/>
          <w:szCs w:val="28"/>
          <w:lang w:eastAsia="en-US"/>
        </w:rPr>
        <w:t xml:space="preserve">муниципального округа </w:t>
      </w:r>
      <w:r>
        <w:rPr>
          <w:rFonts w:ascii="Times New Roman" w:hAnsi="Times New Roman" w:cs="Times New Roman" w:eastAsiaTheme="minorHAnsi"/>
          <w:b/>
          <w:color w:val="auto"/>
          <w:sz w:val="28"/>
          <w:szCs w:val="28"/>
          <w:lang w:val="ru-RU" w:eastAsia="en-US"/>
        </w:rPr>
        <w:t>Приморского</w:t>
      </w:r>
      <w:r>
        <w:rPr>
          <w:rFonts w:hint="default" w:ascii="Times New Roman" w:hAnsi="Times New Roman" w:cs="Times New Roman" w:eastAsiaTheme="minorHAnsi"/>
          <w:b/>
          <w:color w:val="auto"/>
          <w:sz w:val="28"/>
          <w:szCs w:val="28"/>
          <w:lang w:val="ru-RU" w:eastAsia="en-US"/>
        </w:rPr>
        <w:t xml:space="preserve"> края</w:t>
      </w:r>
    </w:p>
    <w:p>
      <w:pPr>
        <w:widowControl w:val="0"/>
        <w:spacing w:after="0" w:line="240" w:lineRule="auto"/>
        <w:ind w:firstLine="567"/>
        <w:jc w:val="center"/>
        <w:rPr>
          <w:rFonts w:ascii="Times New Roman" w:hAnsi="Times New Roman" w:eastAsia="Calibri" w:cs="Times New Roman"/>
          <w:b/>
          <w:sz w:val="28"/>
          <w:szCs w:val="28"/>
        </w:rPr>
      </w:pPr>
    </w:p>
    <w:p>
      <w:pPr>
        <w:widowControl w:val="0"/>
        <w:spacing w:before="120" w:after="0" w:line="240" w:lineRule="auto"/>
        <w:ind w:firstLine="709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Руководство по соблюдению обязательных требований, предъявляемых при осуществлении муниципального земельного контроля 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на территории </w:t>
      </w:r>
      <w:r>
        <w:rPr>
          <w:rFonts w:ascii="Times New Roman" w:hAnsi="Times New Roman" w:eastAsia="Calibri" w:cs="Times New Roman"/>
          <w:sz w:val="28"/>
          <w:szCs w:val="28"/>
          <w:lang w:val="ru-RU" w:eastAsia="en-US"/>
        </w:rPr>
        <w:t>Анучинского</w:t>
      </w:r>
      <w:r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муниципального округа </w:t>
      </w:r>
      <w:r>
        <w:rPr>
          <w:rFonts w:ascii="Times New Roman" w:hAnsi="Times New Roman" w:eastAsia="Calibri" w:cs="Times New Roman"/>
          <w:sz w:val="28"/>
          <w:szCs w:val="28"/>
          <w:lang w:val="ru-RU" w:eastAsia="en-US"/>
        </w:rPr>
        <w:t>Приморского</w:t>
      </w:r>
      <w:r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  <w:t xml:space="preserve"> края </w:t>
      </w:r>
      <w:r>
        <w:rPr>
          <w:rFonts w:ascii="Times New Roman" w:hAnsi="Times New Roman" w:eastAsia="Calibri" w:cs="Times New Roman"/>
          <w:sz w:val="28"/>
          <w:szCs w:val="28"/>
        </w:rPr>
        <w:t>разработано в соответствии с требованиями п. 3 ст. 46 Федерального закона от 31.07.2020</w:t>
      </w:r>
      <w:r>
        <w:rPr>
          <w:rFonts w:ascii="Times New Roman" w:hAnsi="Times New Roman" w:eastAsia="Calibri" w:cs="Times New Roman"/>
          <w:sz w:val="28"/>
          <w:szCs w:val="28"/>
          <w:lang w:val="ru-RU"/>
        </w:rPr>
        <w:t>г</w:t>
      </w:r>
      <w:r>
        <w:rPr>
          <w:rFonts w:hint="default" w:ascii="Times New Roman" w:hAnsi="Times New Roman" w:eastAsia="Calibri" w:cs="Times New Roman"/>
          <w:sz w:val="28"/>
          <w:szCs w:val="28"/>
          <w:lang w:val="ru-RU"/>
        </w:rPr>
        <w:t>.</w:t>
      </w:r>
      <w:r>
        <w:rPr>
          <w:rFonts w:ascii="Times New Roman" w:hAnsi="Times New Roman" w:eastAsia="Calibri" w:cs="Times New Roman"/>
          <w:sz w:val="28"/>
          <w:szCs w:val="28"/>
        </w:rPr>
        <w:t xml:space="preserve"> №248-ФЗ «О государственном контроле (надзоре) и муниципальном контроле в Российской Федерации», Федеральным законом от 31.07.2020</w:t>
      </w:r>
      <w:r>
        <w:rPr>
          <w:rFonts w:ascii="Times New Roman" w:hAnsi="Times New Roman" w:eastAsia="Calibri" w:cs="Times New Roman"/>
          <w:sz w:val="28"/>
          <w:szCs w:val="28"/>
          <w:lang w:val="ru-RU"/>
        </w:rPr>
        <w:t>г</w:t>
      </w:r>
      <w:r>
        <w:rPr>
          <w:rFonts w:hint="default" w:ascii="Times New Roman" w:hAnsi="Times New Roman" w:eastAsia="Calibri" w:cs="Times New Roman"/>
          <w:sz w:val="28"/>
          <w:szCs w:val="28"/>
          <w:lang w:val="ru-RU"/>
        </w:rPr>
        <w:t>.</w:t>
      </w:r>
      <w:r>
        <w:rPr>
          <w:rFonts w:ascii="Times New Roman" w:hAnsi="Times New Roman" w:eastAsia="Calibri" w:cs="Times New Roman"/>
          <w:sz w:val="28"/>
          <w:szCs w:val="28"/>
        </w:rPr>
        <w:t xml:space="preserve"> №247-ФЗ «Об обязательных требованиях в Российской Федерации».</w:t>
      </w:r>
    </w:p>
    <w:p>
      <w:pPr>
        <w:widowControl w:val="0"/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Тексты нормативных правовых актов, содержащих обязательные требования, соблюдение которых оценивается при проведении мероприятий по контролю при осуществлении муниципального земельного контроля 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на территории </w:t>
      </w:r>
      <w:r>
        <w:rPr>
          <w:rFonts w:ascii="Times New Roman" w:hAnsi="Times New Roman" w:eastAsia="Calibri" w:cs="Times New Roman"/>
          <w:sz w:val="28"/>
          <w:szCs w:val="28"/>
          <w:lang w:val="ru-RU" w:eastAsia="en-US"/>
        </w:rPr>
        <w:t>Анучинского</w:t>
      </w:r>
      <w:r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муниципального округа </w:t>
      </w:r>
      <w:r>
        <w:rPr>
          <w:rFonts w:ascii="Times New Roman" w:hAnsi="Times New Roman" w:eastAsia="Calibri" w:cs="Times New Roman"/>
          <w:sz w:val="28"/>
          <w:szCs w:val="28"/>
          <w:lang w:val="ru-RU" w:eastAsia="en-US"/>
        </w:rPr>
        <w:t>Приморского</w:t>
      </w:r>
      <w:r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  <w:t xml:space="preserve"> края</w:t>
      </w:r>
      <w:r>
        <w:rPr>
          <w:rFonts w:ascii="Times New Roman" w:hAnsi="Times New Roman" w:eastAsia="Calibri" w:cs="Times New Roman"/>
          <w:sz w:val="28"/>
          <w:szCs w:val="28"/>
        </w:rPr>
        <w:t xml:space="preserve">, размещены на официальном сайте администрации </w:t>
      </w:r>
      <w:r>
        <w:rPr>
          <w:rFonts w:ascii="Times New Roman" w:hAnsi="Times New Roman" w:eastAsia="Calibri" w:cs="Times New Roman"/>
          <w:sz w:val="28"/>
          <w:szCs w:val="28"/>
          <w:lang w:val="ru-RU"/>
        </w:rPr>
        <w:t>Анучинск</w:t>
      </w:r>
      <w:r>
        <w:rPr>
          <w:rFonts w:ascii="Times New Roman" w:hAnsi="Times New Roman" w:eastAsia="Calibri" w:cs="Times New Roman"/>
          <w:sz w:val="28"/>
          <w:szCs w:val="28"/>
        </w:rPr>
        <w:t xml:space="preserve">ого муниципального </w:t>
      </w:r>
      <w:r>
        <w:rPr>
          <w:rFonts w:ascii="Times New Roman" w:hAnsi="Times New Roman" w:eastAsia="Calibri" w:cs="Times New Roman"/>
          <w:sz w:val="28"/>
          <w:szCs w:val="28"/>
          <w:lang w:val="ru-RU"/>
        </w:rPr>
        <w:t>округа</w:t>
      </w:r>
      <w:r>
        <w:rPr>
          <w:rFonts w:ascii="Times New Roman" w:hAnsi="Times New Roman" w:eastAsia="Calibri" w:cs="Times New Roman"/>
          <w:sz w:val="28"/>
          <w:szCs w:val="28"/>
        </w:rPr>
        <w:t xml:space="preserve"> </w:t>
      </w:r>
      <w:r>
        <w:rPr>
          <w:rFonts w:hint="default" w:ascii="Times New Roman" w:hAnsi="Times New Roman" w:eastAsia="Calibri"/>
          <w:sz w:val="28"/>
          <w:szCs w:val="28"/>
        </w:rPr>
        <w:t>https://анучинский.рф/administraciya/munitsipalnyy-kontrol/</w:t>
      </w:r>
      <w:r>
        <w:rPr>
          <w:rFonts w:ascii="Times New Roman" w:hAnsi="Times New Roman" w:eastAsia="Calibri" w:cs="Times New Roman"/>
          <w:sz w:val="28"/>
          <w:szCs w:val="28"/>
        </w:rPr>
        <w:t xml:space="preserve"> в разделе «Муниципальный </w:t>
      </w:r>
      <w:r>
        <w:rPr>
          <w:rFonts w:ascii="Times New Roman" w:hAnsi="Times New Roman" w:eastAsia="Calibri" w:cs="Times New Roman"/>
          <w:sz w:val="28"/>
          <w:szCs w:val="28"/>
          <w:lang w:val="ru-RU"/>
        </w:rPr>
        <w:t>земельный</w:t>
      </w:r>
      <w:r>
        <w:rPr>
          <w:rFonts w:hint="default" w:ascii="Times New Roman" w:hAnsi="Times New Roman" w:eastAsia="Calibri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  <w:t>контроль».</w:t>
      </w:r>
    </w:p>
    <w:p>
      <w:pPr>
        <w:widowControl w:val="0"/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28"/>
          <w:szCs w:val="28"/>
        </w:rPr>
      </w:pPr>
    </w:p>
    <w:p>
      <w:pPr>
        <w:widowControl w:val="0"/>
        <w:spacing w:after="0" w:line="240" w:lineRule="auto"/>
        <w:jc w:val="center"/>
        <w:rPr>
          <w:rFonts w:ascii="Times New Roman" w:hAnsi="Times New Roman" w:eastAsia="Calibri" w:cs="Times New Roman"/>
          <w:b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Разъяснение требований нормативных </w:t>
      </w:r>
    </w:p>
    <w:p>
      <w:pPr>
        <w:widowControl w:val="0"/>
        <w:spacing w:after="0" w:line="240" w:lineRule="auto"/>
        <w:jc w:val="center"/>
        <w:rPr>
          <w:rFonts w:hint="default" w:ascii="Times New Roman" w:hAnsi="Times New Roman" w:cs="Times New Roman" w:eastAsiaTheme="minorHAnsi"/>
          <w:b/>
          <w:color w:val="auto"/>
          <w:sz w:val="28"/>
          <w:szCs w:val="28"/>
          <w:lang w:val="ru-RU" w:eastAsia="en-US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правовых актов о муниципальном </w:t>
      </w:r>
      <w:r>
        <w:rPr>
          <w:rFonts w:ascii="Times New Roman" w:hAnsi="Times New Roman" w:eastAsia="Calibri" w:cs="Times New Roman"/>
          <w:b/>
          <w:sz w:val="28"/>
          <w:szCs w:val="28"/>
          <w:lang w:val="ru-RU"/>
        </w:rPr>
        <w:t>земельном</w:t>
      </w:r>
      <w:r>
        <w:rPr>
          <w:rFonts w:hint="default" w:ascii="Times New Roman" w:hAnsi="Times New Roman" w:eastAsia="Calibri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Calibri" w:cs="Times New Roman"/>
          <w:b/>
          <w:sz w:val="28"/>
          <w:szCs w:val="28"/>
        </w:rPr>
        <w:t>контроле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 w:eastAsiaTheme="minorHAnsi"/>
          <w:b/>
          <w:color w:val="auto"/>
          <w:sz w:val="28"/>
          <w:szCs w:val="28"/>
          <w:lang w:eastAsia="en-US"/>
        </w:rPr>
        <w:t xml:space="preserve">на территории </w:t>
      </w:r>
      <w:r>
        <w:rPr>
          <w:rFonts w:ascii="Times New Roman" w:hAnsi="Times New Roman" w:cs="Times New Roman" w:eastAsiaTheme="minorHAnsi"/>
          <w:b/>
          <w:color w:val="auto"/>
          <w:sz w:val="28"/>
          <w:szCs w:val="28"/>
          <w:lang w:val="ru-RU" w:eastAsia="en-US"/>
        </w:rPr>
        <w:t>Анучинского</w:t>
      </w:r>
      <w:r>
        <w:rPr>
          <w:rFonts w:hint="default" w:ascii="Times New Roman" w:hAnsi="Times New Roman" w:cs="Times New Roman" w:eastAsiaTheme="minorHAnsi"/>
          <w:b/>
          <w:color w:val="auto"/>
          <w:sz w:val="28"/>
          <w:szCs w:val="28"/>
          <w:lang w:val="ru-RU" w:eastAsia="en-US"/>
        </w:rPr>
        <w:t xml:space="preserve"> </w:t>
      </w:r>
      <w:r>
        <w:rPr>
          <w:rFonts w:ascii="Times New Roman" w:hAnsi="Times New Roman" w:cs="Times New Roman" w:eastAsiaTheme="minorHAnsi"/>
          <w:b/>
          <w:color w:val="auto"/>
          <w:sz w:val="28"/>
          <w:szCs w:val="28"/>
          <w:lang w:eastAsia="en-US"/>
        </w:rPr>
        <w:t xml:space="preserve">муниципального округа </w:t>
      </w:r>
      <w:r>
        <w:rPr>
          <w:rFonts w:ascii="Times New Roman" w:hAnsi="Times New Roman" w:cs="Times New Roman" w:eastAsiaTheme="minorHAnsi"/>
          <w:b/>
          <w:color w:val="auto"/>
          <w:sz w:val="28"/>
          <w:szCs w:val="28"/>
          <w:lang w:val="ru-RU" w:eastAsia="en-US"/>
        </w:rPr>
        <w:t>Приморского</w:t>
      </w:r>
      <w:r>
        <w:rPr>
          <w:rFonts w:hint="default" w:ascii="Times New Roman" w:hAnsi="Times New Roman" w:cs="Times New Roman" w:eastAsiaTheme="minorHAnsi"/>
          <w:b/>
          <w:color w:val="auto"/>
          <w:sz w:val="28"/>
          <w:szCs w:val="28"/>
          <w:lang w:val="ru-RU" w:eastAsia="en-US"/>
        </w:rPr>
        <w:t xml:space="preserve"> края</w:t>
      </w:r>
    </w:p>
    <w:p>
      <w:pPr>
        <w:widowControl w:val="0"/>
        <w:spacing w:after="0" w:line="240" w:lineRule="auto"/>
        <w:jc w:val="center"/>
        <w:rPr>
          <w:rFonts w:hint="default" w:ascii="Times New Roman" w:hAnsi="Times New Roman" w:cs="Times New Roman" w:eastAsiaTheme="minorHAnsi"/>
          <w:b/>
          <w:color w:val="auto"/>
          <w:sz w:val="28"/>
          <w:szCs w:val="28"/>
          <w:lang w:val="ru-RU" w:eastAsia="en-US"/>
        </w:rPr>
      </w:pPr>
    </w:p>
    <w:p>
      <w:pPr>
        <w:spacing w:after="0" w:line="240" w:lineRule="auto"/>
        <w:ind w:firstLine="708"/>
        <w:jc w:val="both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Настоящее руководство разработано в целях оказания юридическим лицам, индивидуальным предпринимателям, в том числе относящимся к субъектам малого и среднего предпринимательства, гражданам информационно-методической поддержки в вопросах соблюдения обязательных требований, контроль за соблюдением которых осуществляет орган местного самоуправления при осуществлении муниципального земельного контроля на территории </w:t>
      </w: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>Анучинского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муниципального округа </w:t>
      </w: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>Приморского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 w:eastAsia="ru-RU"/>
        </w:rPr>
        <w:t xml:space="preserve"> края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.</w:t>
      </w:r>
    </w:p>
    <w:p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Предметом муниципального земельного контроля является соблюдение юридическими лицами, индивидуальными предпринимателями, гражданами (далее – контролируемые лица) обязательных требований земельного законодательства в отношении объектов земельных отношений, предусмотренных Законодательством РФ в области земельного контроля.</w:t>
      </w: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Объектами земельных отношений являются: земля как природный объект и природный ресурс; земельные участки; части земельных участков.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Земельный участок как объект права собственности и иных предусмотренных Земельным кодексом Российской Федерации прав на землю является недвижимой вещью, которая представляет собой часть земной поверхности и имеет характеристики, позволяющие определить ее в качестве индивидуально определенной вещи. В случаях и в порядке, которые установлены федеральным законом, могут создаваться искусственные земельные участки.</w:t>
      </w: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ind w:left="0" w:leftChars="0" w:firstLine="0" w:firstLineChars="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Обязанности лиц по использованию земельных участков</w:t>
      </w: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В соответствии со статьей 42 Земельного кодекса Российской Федерации собственники земельных участков и лица, не являющиеся собственниками земельных участков, обязаны:</w:t>
      </w: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 использовать земельные участки в соответствии с их целевым назначением способами, которые не должны наносить вред окружающей среде, в том числе земле как природному объекту;</w:t>
      </w: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 сохранять межевые, геодезические и другие специальные знаки, установленные на земельных участках в соответствии с законодательством;</w:t>
      </w: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 осуществлять мероприятия по охране земель, лесов, водных объектов и других природных ресурсов, в том числе меры пожарной безопасности;</w:t>
      </w: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 своевременно приступать к использованию земельных участков в случаях, если сроки освоения земельных участков предусмотрены договорами;</w:t>
      </w: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 своевременно производить платежи за землю;</w:t>
      </w: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 соблюдать при использовании земельных участков требования градостроительных регламентов, строительных, экологических, санитарно-гигиенических, противопожарных и иных правил, нормативов, осуществлять на земельных участках строительство, реконструкцию зданий, сооружений в соответствии с требованиями законодательства о градостроительной деятельности;</w:t>
      </w: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 не допускать загрязнение, истощение, деградацию, порчу, уничтожение земель и почв и иное негативное воздействие на земли и почвы;</w:t>
      </w: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 не препятствовать организации - собственнику объекта системы газоснабжения, нефтепровода или нефтепродуктопровода либо уполномоченной ею организации в выполнении ими работ по обслуживанию и ремонту расположенных на земельных участках и (или) под поверхностью земельных участков объектов системы газоснабжения, нефтепроводов и нефтепродуктопроводов, аммиакопроводов, по предупреждению чрезвычайных ситуаций, по ликвидации последствий возникших на них аварий, катастроф;</w:t>
      </w: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 выполнять иные требования, предусмотренные Земельным кодексом Российской Федерации, федеральными законами.</w:t>
      </w: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ind w:left="0" w:leftChars="0" w:firstLine="0" w:firstLineChars="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Возникновение прав на земельный участок</w:t>
      </w: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В соответствии с частью 1 статьи 25 Земельного кодекса Российской Федерации права на земельные участки возникают по основаниям, установленным гражданским законодательством, федеральными законами, и подлежат государственной регистрации в соответствии с Федеральным законом от 13.07.2015г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№218-ФЗ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О государственной регистрации недвижимости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.</w:t>
      </w: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Права на земельные участки удостоверяются документами в порядке, установленном Федеральным законом от 13.07.2015г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№218-ФЗ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О государственной регистрации недвижимости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.</w:t>
      </w: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Договоры аренды земельного участка, субаренды земельного участка, безвозмездного пользования земельным участком, заключенные на срок менее чем один год, не подлежат государственной регистрации, за исключением случаев, установленных федеральными законами.</w:t>
      </w: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При переходе права собственности на здание, сооружение, находящиеся на чужом земельном участке, к другому лицу, оно приобретает право на использование соответствующей части земельного участка, занятой зданием, сооружением и необходимой для их использования, на тех же условиях и в том же объеме, что и прежний их собственник.</w:t>
      </w: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В случае перехода права собственности на здание, сооружение к нескольким собственникам, порядок пользования земельным участком определяется с учетом долей в праве собственности на здание, сооружение или сложившегося порядка пользования земельным участком.</w:t>
      </w: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Отчуждение здания, сооружения, находящихся на земельном участке и принадлежащих одному лицу, проводится вместе с земельным участком, за исключением следующих случаев:</w:t>
      </w: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 отчуждение части здания, сооружения, которая не может быть выделена в натуре вместе с частью земельного участка;</w:t>
      </w: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 отчуждение здания, сооружения, находящихся на земельном участке, изъятом из оборота в соответствии со статьей 27 Земельного кодекса Российской Федерации;</w:t>
      </w: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 отчуждение сооружения, которое расположено на земельном участке на условиях сервитута.</w:t>
      </w: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Отчуждение здания, сооружения, находящихся на ограниченном в обороте земельном участке и принадлежащих одному лицу, проводится вместе с земельным участком, если федеральным законом разрешено предоставлять такой земельный участок в собственность граждан и юридических лиц.</w:t>
      </w: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Не допускается отчуждение земельного участка без находящихся на нем здания, сооружения в случае, если они принадлежат одному лицу.</w:t>
      </w: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Отчуждение участником долевой собственности доли в праве собственности на здание, сооружение или отчуждение собственником принадлежащих ему части здания, сооружения или помещения в них проводится вместе с отчуждением доли указанных лиц в праве собственности на земельный участок, на котором расположены здание, сооружение.</w:t>
      </w: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Использование земельных участков в отсутствие предусмотренных законом прав является административным правонарушением, ответственность за которое предусмотрена статьей 7.1 Кодекса Российской Федерации об административных правонарушениях.</w:t>
      </w: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Документами, подтверждающими возникновение прав на используемые земельные участки, являются в том числе договоры и иные сделки, предусмотренные законом, судебные решения, устанавливающие право на земельный участок, акты органов государственной власти и органов местного самоуправления, которые предусмотрены в качестве оснований возникновения прав на земельный участок. </w:t>
      </w: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ind w:left="0" w:leftChars="0" w:firstLine="0" w:firstLineChars="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Переоформление права на земельный участок</w:t>
      </w: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Переоформление права на земельный участок включает в себя:</w:t>
      </w: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 подачу заявления заинтересованным лицом о предоставлении ему земельного участка на соответствующем праве, предусмотренном Земельным кодексом Российской Федерации, при переоформлении права постоянного (бессрочного) пользования;</w:t>
      </w: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 принятие решения уполномоченным органом о предоставлении земельного участка на соответствующем праве;</w:t>
      </w: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 государственную регистрацию права в соответствии с Федеральным законом от 13.07.2015г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№218-ФЗ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О государственной регистрации недвижимости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.</w:t>
      </w: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Юридическим лицам, в том числе относящимся к субъектам малого и среднего предпринимательства, которым земельные участки были предоставлены до 29.10.2001г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(до вступления в силу Земельного кодекса Российской Федерации) на праве постоянного (бессрочного) пользования, необходимо обратиться в уполномоченный орган местного самоуправления с заявлением о приобретении в собственность или на оформлении на праве аренды такого земельного участка.</w:t>
      </w: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ind w:left="0" w:leftChars="0" w:firstLine="0" w:firstLineChars="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Платность использования земли</w:t>
      </w: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Использование земли в Российской Федерации является платным. Формами платы за использование земли являются земельный налог (до введения в действие налога на недвижимость) и арендная плата.</w:t>
      </w: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Порядок исчисления и уплаты земельного налога устанавливается законодательством Российской Федерации о налогах и сборах.</w:t>
      </w: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Порядок, условия и сроки внесения арендной платы за земельные участки, находящиеся в государственной или муниципальной собственности, устанавливаются Земельным кодексом Российской Федерации, федеральными законами, нормативными правовыми актами  органов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местного самоуправления Анучинского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муниципального округа, а также договорами аренды земельных участков.</w:t>
      </w: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ind w:left="0" w:leftChars="0" w:firstLine="0" w:firstLineChars="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Обязанность использовать земельный участок</w:t>
      </w:r>
    </w:p>
    <w:p>
      <w:pPr>
        <w:spacing w:after="0" w:line="240" w:lineRule="auto"/>
        <w:ind w:left="0" w:leftChars="0" w:firstLine="0" w:firstLineChars="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по целевому назначению в соответствии с его принадлежностью</w:t>
      </w:r>
    </w:p>
    <w:p>
      <w:pPr>
        <w:spacing w:after="0" w:line="240" w:lineRule="auto"/>
        <w:ind w:left="0" w:leftChars="0" w:firstLine="0" w:firstLineChars="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к той или иной категории земель и (или) разрешенным использованием</w:t>
      </w: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В соответствии со статьей 7 Земельного кодекса Российской Федерации земли используются в соответствии с установленным для них целевым назначением. Правовой режим земель определяется исходя из их принадлежности к той или иной категории и разрешенного использования в соответствии с зонированием территорий.</w:t>
      </w: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Виды разрешенного использования земельных участков определяются в соответствии с классификатором видов разрешенного использования земельных участков, утвержденных Приказом Росреестра от 10.11.2020г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№П/0412 «Об утверждении классификатора видов разрешенного использования земельных участков», и основными видами и параметрами разрешенного использования земельных участков и объектов капитального строительства, установленными правилами землепользования и застройки на территории Анучинского муниципального округа.</w:t>
      </w: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Вид разрешенного использования земельного участка указывается в сведениях Единого государственного реестра недвижимости.</w:t>
      </w: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Лицо, использующее земельный участок, обязано использовать земельный участок в соответствии с целевым назначением и видом разрешенного использования земельного участка, которые указаны в Едином государственном реестре недвижимости.</w:t>
      </w: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Указанный вид нарушения заключается в использовании земельного участка для видов деятельности, не предусмотренных для соответствующей категории, к которой отнесен земельный участок, и вида (видов) разрешенного использования земельного участка, которые указаны в Едином государственном реестре недвижимости.</w:t>
      </w: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За использование земельного участка не в соответствии с целевым назначением и (или) установленным разрешенным использованием земельного участка предусмотрена административная ответственность, установленная статьей 8.8 Кодекса Российской Федерации об административных правонарушениях.</w:t>
      </w: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ind w:left="0" w:leftChars="0" w:firstLine="0" w:firstLineChars="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Изменение видов разрешенного использования</w:t>
      </w:r>
    </w:p>
    <w:p>
      <w:pPr>
        <w:spacing w:after="0" w:line="240" w:lineRule="auto"/>
        <w:ind w:left="0" w:leftChars="0" w:firstLine="0" w:firstLineChars="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земельных участков и объектов капитального строительства</w:t>
      </w: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В соответствии с Градостроительным кодексом Российской Федерации, Земельным кодексом Российской Федерации, иными федеральными законами, Уставом Анучинского муниципального округа, правилами землепользования и застройки на территории Анучинского муниципального округа, включающие в себя градостроительные регламенты Анучинского муниципального округа.</w:t>
      </w: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Градостроительным регламентом определяются виды разрешенного использования земельных участков и объектов капитального строительства, правовой режим земельных участков, и используется в процессе их застройки и последующей эксплуатации объектов капитального строительства.</w:t>
      </w: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Разрешенное использование земельных участков и объектов капитального строительства может быть следующих видов:</w:t>
      </w: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1) основные виды разрешенного использования;</w:t>
      </w: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2) условно разрешенные виды использования;</w:t>
      </w: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3) вспомогательные виды разрешенного использования,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ними.</w:t>
      </w: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Применительно к каждой территориальной зоне устанавливаются виды разрешенного использования земельных участков и объектов капитального строительства.</w:t>
      </w: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регламентов.</w:t>
      </w: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строительства, за исключением органов государственной власти, органов местного самоуправления, государственных и муниципальных учреждений, государственных и муниципальных унитарных предприятий, выбираются самостоятельно без дополнительных разрешений и согласования.</w:t>
      </w: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С целью соблюдения требований земельного законодательства лицу, заинтересованному в изменении вида разрешенного использования земельного участка, необходимо обратиться с соответствующим заявлением в уполномоченный орган.</w:t>
      </w: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ind w:left="0" w:leftChars="0" w:firstLine="0" w:firstLineChars="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Ответственность за правонарушения</w:t>
      </w:r>
    </w:p>
    <w:p>
      <w:pPr>
        <w:spacing w:after="0" w:line="240" w:lineRule="auto"/>
        <w:ind w:left="0" w:leftChars="0" w:firstLine="0" w:firstLineChars="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в области охраны и использования земель</w:t>
      </w: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Главой XIII Земельного кодекса Российской Федерации установлено, что лица, виновные в совершении земельных правонарушений, несут административную или уголовную ответственность в порядке, установленном законодательством.</w:t>
      </w: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Привлечение лица, виновного в совершении земельных правонарушений, к административной ответственности не освобождает его от обязанности устранить допущенные земельные правонарушения и возместить причиненный им вред (по соглашению сторон или в судебном порядке).</w:t>
      </w: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Самовольно занятые земельные участки возвращаются их собственникам, землепользователям, землевладельцам, арендаторам земельных участков без возмещения затрат, произведенных лицами, виновными в нарушении земельного законодательства, за время незаконного пользования этими земельными участками, либо, в случае самовольного занятия земельного участка, государственная собственность на который не разграничена, подлежат оформлению в собственность или в аренду лицом, занявшим соответствующий земельный участок.</w:t>
      </w: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Приведение земельных участков в пригодное для использования состояние при их загрязнении, других видах порчи, самовольном занятии, снос зданий, сооружений при самовольном занятии земельных участков или самовольном строительстве, а также восстановление уничтоженных межевых знаков осуществляется юридическими лицами и гражданами, виновными в указанных земельных правонарушениях, или за их счет.</w:t>
      </w: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Принудительное прекращение прав на земельный участок не освобождает от обязанности по возмещению причиненного земельными правонарушениями вреда.</w:t>
      </w: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</w:p>
    <w:p>
      <w:pPr>
        <w:spacing w:after="0" w:line="240" w:lineRule="auto"/>
        <w:ind w:left="0" w:leftChars="0" w:firstLine="0" w:firstLineChars="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Перечень правовых актов, регулирующих исполнение</w:t>
      </w:r>
    </w:p>
    <w:p>
      <w:pPr>
        <w:spacing w:after="0" w:line="240" w:lineRule="auto"/>
        <w:ind w:left="0" w:leftChars="0" w:firstLine="0" w:firstLineChars="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юридическими лицами, индивидуальными предпринимателями, </w:t>
      </w:r>
    </w:p>
    <w:p>
      <w:pPr>
        <w:spacing w:after="0" w:line="240" w:lineRule="auto"/>
        <w:ind w:left="0" w:leftChars="0" w:firstLine="0" w:firstLineChars="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а также гражданами обязательных требований </w:t>
      </w:r>
    </w:p>
    <w:p>
      <w:pPr>
        <w:spacing w:after="0" w:line="240" w:lineRule="auto"/>
        <w:ind w:left="0" w:leftChars="0" w:firstLine="0" w:firstLineChars="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земельного законодательства</w:t>
      </w: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 Земельный кодекс Российской Федерации;</w:t>
      </w: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Градостроительный кодекс Российской Федерации; </w:t>
      </w: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 Гражданский кодекс Российской Федерации;</w:t>
      </w: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Кодекс Российской Федерации об административных правонарушениях; </w:t>
      </w: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 Федеральный закон от 31.07.2020 № 248-ФЗ «О государственном контроле (надзоре) и муниципальном контроле в Российской Федерации»;</w:t>
      </w:r>
    </w:p>
    <w:p>
      <w:pPr>
        <w:spacing w:after="0" w:line="240" w:lineRule="auto"/>
        <w:ind w:firstLine="708"/>
        <w:jc w:val="both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 Федеральный закон от 13.07.2015 № 218-ФЗ «О государственной регистрации недвижимости»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.</w:t>
      </w:r>
    </w:p>
    <w:sectPr>
      <w:pgSz w:w="11906" w:h="16838"/>
      <w:pgMar w:top="1200" w:right="746" w:bottom="1440" w:left="20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Sans Serif">
    <w:panose1 w:val="020B0604020202020204"/>
    <w:charset w:val="CC"/>
    <w:family w:val="swiss"/>
    <w:pitch w:val="default"/>
    <w:sig w:usb0="E5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8F13CF"/>
    <w:rsid w:val="0307487F"/>
    <w:rsid w:val="1C544CB4"/>
    <w:rsid w:val="26A51B3A"/>
    <w:rsid w:val="51095A49"/>
    <w:rsid w:val="788631BC"/>
    <w:rsid w:val="7B8F1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widowControl w:val="0"/>
    </w:pPr>
    <w:rPr>
      <w:rFonts w:ascii="Microsoft Sans Serif" w:hAnsi="Microsoft Sans Serif" w:eastAsia="Microsoft Sans Serif" w:cs="Microsoft Sans Serif"/>
      <w:color w:val="000000"/>
      <w:sz w:val="24"/>
      <w:szCs w:val="24"/>
      <w:lang w:val="ru-RU" w:eastAsia="ru-RU" w:bidi="ru-RU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qFormat/>
    <w:uiPriority w:val="99"/>
    <w:rPr>
      <w:color w:val="0000FF"/>
      <w:u w:val="single"/>
    </w:rPr>
  </w:style>
  <w:style w:type="paragraph" w:styleId="5">
    <w:name w:val="header"/>
    <w:basedOn w:val="1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6">
    <w:name w:val="Body Text Indent 2"/>
    <w:basedOn w:val="1"/>
    <w:qFormat/>
    <w:uiPriority w:val="0"/>
    <w:pPr>
      <w:ind w:firstLine="851"/>
      <w:jc w:val="both"/>
    </w:pPr>
    <w:rPr>
      <w:sz w:val="24"/>
    </w:rPr>
  </w:style>
  <w:style w:type="paragraph" w:customStyle="1" w:styleId="7">
    <w:name w:val="ConsPlusNormal"/>
    <w:qFormat/>
    <w:uiPriority w:val="0"/>
    <w:pPr>
      <w:autoSpaceDE w:val="0"/>
      <w:autoSpaceDN w:val="0"/>
      <w:adjustRightInd w:val="0"/>
      <w:spacing w:after="0" w:line="240" w:lineRule="auto"/>
    </w:pPr>
    <w:rPr>
      <w:rFonts w:ascii="Arial" w:hAnsi="Arial" w:cs="Arial" w:eastAsiaTheme="minorHAnsi"/>
      <w:sz w:val="20"/>
      <w:szCs w:val="20"/>
      <w:lang w:val="ru-RU" w:eastAsia="en-US" w:bidi="ar-SA"/>
    </w:rPr>
  </w:style>
  <w:style w:type="paragraph" w:customStyle="1" w:styleId="8">
    <w:name w:val="ConsPlusTitle"/>
    <w:qFormat/>
    <w:uiPriority w:val="99"/>
    <w:pPr>
      <w:autoSpaceDE w:val="0"/>
      <w:autoSpaceDN w:val="0"/>
      <w:adjustRightInd w:val="0"/>
      <w:spacing w:after="0" w:line="240" w:lineRule="auto"/>
    </w:pPr>
    <w:rPr>
      <w:rFonts w:ascii="Arial" w:hAnsi="Arial" w:cs="Arial" w:eastAsiaTheme="minorHAnsi"/>
      <w:b/>
      <w:bCs/>
      <w:sz w:val="20"/>
      <w:szCs w:val="20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182</TotalTime>
  <ScaleCrop>false</ScaleCrop>
  <LinksUpToDate>false</LinksUpToDate>
  <CharactersWithSpaces>0</CharactersWithSpaces>
  <Application>WPS Office_11.2.0.11191_F1E327BC-269C-435d-A152-05C5408002CA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2022-07-05T01:51:00Z</dcterms:created>
  <dc:creator>MehovskiyVV</dc:creator>
  <cp:lastModifiedBy>MehovskiyVV</cp:lastModifiedBy>
  <cp:lastPrinted>2022-07-28T04:53:00Z</cp:lastPrinted>
  <dcterms:modified xsi:type="dcterms:W3CDTF">2022-08-01T04:12:08Z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1049-11.2.0.11191</vt:lpwstr>
  </property>
  <property fmtid="{D5CDD505-2E9C-101B-9397-08002B2CF9AE}" pid="3" name="ICV">
    <vt:lpwstr>F59B3288B147449EA765AC8ED7C799DA</vt:lpwstr>
  </property>
</Properties>
</file>