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drawing>
          <wp:inline distT="0" distB="0" distL="0" distR="0">
            <wp:extent cx="762000" cy="1133475"/>
            <wp:effectExtent l="0" t="0" r="0" b="9525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62000" cy="1133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</w:t>
      </w:r>
    </w:p>
    <w:p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АНУЧИНСКОГО МУНИЦИПАЛЬНОГО ОКРУГА </w:t>
      </w:r>
    </w:p>
    <w:p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ПРИМОРСКОГО КРАЯ </w:t>
      </w:r>
    </w:p>
    <w:p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</w:p>
    <w:p>
      <w:pPr>
        <w:ind w:firstLine="2940" w:firstLineChars="105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П О С Т А Н О В Л Е Н И Е            </w:t>
      </w:r>
    </w:p>
    <w:p>
      <w:pPr>
        <w:jc w:val="center"/>
        <w:rPr>
          <w:sz w:val="28"/>
          <w:szCs w:val="28"/>
        </w:rPr>
      </w:pPr>
    </w:p>
    <w:p>
      <w:pPr>
        <w:jc w:val="both"/>
        <w:rPr>
          <w:sz w:val="28"/>
          <w:szCs w:val="28"/>
        </w:rPr>
      </w:pPr>
      <w:r>
        <w:rPr>
          <w:rFonts w:hint="default"/>
          <w:sz w:val="28"/>
          <w:szCs w:val="28"/>
          <w:lang w:val="ru-RU"/>
        </w:rPr>
        <w:t>________</w:t>
      </w:r>
      <w:r>
        <w:rPr>
          <w:sz w:val="28"/>
          <w:szCs w:val="28"/>
        </w:rPr>
        <w:t xml:space="preserve">                </w:t>
      </w:r>
      <w:r>
        <w:rPr>
          <w:rFonts w:hint="default"/>
          <w:sz w:val="28"/>
          <w:szCs w:val="28"/>
          <w:lang w:val="ru-RU"/>
        </w:rPr>
        <w:t xml:space="preserve">                   </w:t>
      </w:r>
      <w:r>
        <w:rPr>
          <w:sz w:val="28"/>
          <w:szCs w:val="28"/>
        </w:rPr>
        <w:t xml:space="preserve">    с.Анучино                </w:t>
      </w:r>
      <w:r>
        <w:rPr>
          <w:rFonts w:hint="default"/>
          <w:sz w:val="28"/>
          <w:szCs w:val="28"/>
          <w:lang w:val="ru-RU"/>
        </w:rPr>
        <w:t xml:space="preserve">        </w:t>
      </w:r>
      <w:r>
        <w:rPr>
          <w:sz w:val="28"/>
          <w:szCs w:val="28"/>
        </w:rPr>
        <w:t xml:space="preserve">             №</w:t>
      </w:r>
      <w:r>
        <w:rPr>
          <w:rFonts w:hint="default"/>
          <w:sz w:val="28"/>
          <w:szCs w:val="28"/>
          <w:lang w:val="ru-RU"/>
        </w:rPr>
        <w:t>_________</w:t>
      </w:r>
      <w:r>
        <w:rPr>
          <w:sz w:val="28"/>
          <w:szCs w:val="28"/>
        </w:rPr>
        <w:t xml:space="preserve"> </w:t>
      </w:r>
    </w:p>
    <w:p>
      <w:pPr>
        <w:jc w:val="center"/>
        <w:rPr>
          <w:sz w:val="28"/>
          <w:szCs w:val="28"/>
        </w:rPr>
      </w:pPr>
    </w:p>
    <w:p>
      <w:pPr>
        <w:pStyle w:val="5"/>
        <w:spacing w:line="276" w:lineRule="auto"/>
        <w:ind w:left="-28" w:firstLine="17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внесении изменений в  муниципальную программу </w:t>
      </w:r>
      <w:r>
        <w:rPr>
          <w:b/>
          <w:bCs/>
          <w:sz w:val="28"/>
          <w:szCs w:val="28"/>
        </w:rPr>
        <w:t xml:space="preserve">«Развитие </w:t>
      </w:r>
      <w:r>
        <w:rPr>
          <w:b/>
          <w:sz w:val="28"/>
          <w:szCs w:val="28"/>
        </w:rPr>
        <w:t>молодежной политики и патриотического воспитания граждан в Анучинском муниципальном округе на 2020-2024 годы»</w:t>
      </w:r>
      <w:r>
        <w:rPr>
          <w:b/>
          <w:bCs/>
          <w:sz w:val="28"/>
          <w:szCs w:val="28"/>
        </w:rPr>
        <w:t>,</w:t>
      </w:r>
      <w:r>
        <w:rPr>
          <w:b/>
          <w:sz w:val="28"/>
          <w:szCs w:val="28"/>
        </w:rPr>
        <w:t xml:space="preserve"> утвержденную постановлением администрации Анучинского муниципального района от 30.09.2019 г №553</w:t>
      </w:r>
    </w:p>
    <w:p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tbl>
      <w:tblPr>
        <w:tblStyle w:val="3"/>
        <w:tblW w:w="9715" w:type="dxa"/>
        <w:tblInd w:w="28" w:type="dxa"/>
        <w:tblLayout w:type="fixed"/>
        <w:tblCellMar>
          <w:top w:w="0" w:type="dxa"/>
          <w:left w:w="28" w:type="dxa"/>
          <w:bottom w:w="0" w:type="dxa"/>
          <w:right w:w="28" w:type="dxa"/>
        </w:tblCellMar>
      </w:tblPr>
      <w:tblGrid>
        <w:gridCol w:w="9639"/>
        <w:gridCol w:w="76"/>
      </w:tblGrid>
      <w:tr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825" w:hRule="atLeast"/>
        </w:trPr>
        <w:tc>
          <w:tcPr>
            <w:tcW w:w="9639" w:type="dxa"/>
          </w:tcPr>
          <w:p>
            <w:pPr>
              <w:pStyle w:val="5"/>
              <w:tabs>
                <w:tab w:val="right" w:pos="9328"/>
                <w:tab w:val="clear" w:pos="9355"/>
              </w:tabs>
              <w:spacing w:line="360" w:lineRule="auto"/>
              <w:ind w:right="256" w:firstLine="85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соответствии со статьей 179 Бюджетного кодекса Российской Федерации, во исполнение постановления администрации Анучинского муниципального района от 23.11.2018 № 552 «Об утверждении  порядка принятия решений о разработке муниципальных программ, реализации и оценки эффективности в Анучинском муниципальном районе», Устава Анучинского муниципального округа, Администрация Анучинского муниципального округа Приморского края</w:t>
            </w:r>
          </w:p>
        </w:tc>
        <w:tc>
          <w:tcPr>
            <w:tcW w:w="76" w:type="dxa"/>
          </w:tcPr>
          <w:p>
            <w:pPr>
              <w:spacing w:line="360" w:lineRule="auto"/>
              <w:ind w:left="539"/>
              <w:rPr>
                <w:sz w:val="28"/>
                <w:szCs w:val="28"/>
              </w:rPr>
            </w:pPr>
          </w:p>
        </w:tc>
      </w:tr>
    </w:tbl>
    <w:p>
      <w:pPr>
        <w:spacing w:line="360" w:lineRule="auto"/>
        <w:jc w:val="both"/>
        <w:rPr>
          <w:sz w:val="10"/>
          <w:szCs w:val="10"/>
        </w:rPr>
      </w:pPr>
    </w:p>
    <w:p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ПОСТАНОВЛЯЕТ:</w:t>
      </w:r>
    </w:p>
    <w:p>
      <w:pPr>
        <w:spacing w:line="360" w:lineRule="auto"/>
        <w:jc w:val="both"/>
        <w:rPr>
          <w:sz w:val="10"/>
          <w:szCs w:val="10"/>
        </w:rPr>
      </w:pPr>
    </w:p>
    <w:p>
      <w:pPr>
        <w:pageBreakBefore w:val="0"/>
        <w:numPr>
          <w:ilvl w:val="0"/>
          <w:numId w:val="1"/>
        </w:numPr>
        <w:kinsoku/>
        <w:wordWrap/>
        <w:topLinePunct w:val="0"/>
        <w:autoSpaceDE w:val="0"/>
        <w:autoSpaceDN/>
        <w:bidi w:val="0"/>
        <w:adjustRightInd/>
        <w:snapToGrid/>
        <w:spacing w:line="360" w:lineRule="auto"/>
        <w:ind w:left="0" w:leftChars="0" w:right="-6" w:firstLine="719" w:firstLineChars="257"/>
        <w:jc w:val="both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 xml:space="preserve">Внести  в постановление администрации Анучинского муниципального района от </w:t>
      </w:r>
      <w:r>
        <w:rPr>
          <w:rFonts w:hint="default"/>
          <w:b w:val="0"/>
          <w:bCs w:val="0"/>
          <w:sz w:val="28"/>
          <w:szCs w:val="28"/>
          <w:lang w:val="ru-RU"/>
        </w:rPr>
        <w:t>30</w:t>
      </w:r>
      <w:r>
        <w:rPr>
          <w:b w:val="0"/>
          <w:bCs w:val="0"/>
          <w:sz w:val="28"/>
          <w:szCs w:val="28"/>
        </w:rPr>
        <w:t>.09.201</w:t>
      </w:r>
      <w:r>
        <w:rPr>
          <w:rFonts w:hint="default"/>
          <w:b w:val="0"/>
          <w:bCs w:val="0"/>
          <w:sz w:val="28"/>
          <w:szCs w:val="28"/>
          <w:lang w:val="ru-RU"/>
        </w:rPr>
        <w:t>9</w:t>
      </w:r>
      <w:r>
        <w:rPr>
          <w:b w:val="0"/>
          <w:bCs w:val="0"/>
          <w:sz w:val="28"/>
          <w:szCs w:val="28"/>
        </w:rPr>
        <w:t xml:space="preserve"> №</w:t>
      </w:r>
      <w:r>
        <w:rPr>
          <w:rFonts w:hint="default"/>
          <w:b w:val="0"/>
          <w:bCs w:val="0"/>
          <w:sz w:val="28"/>
          <w:szCs w:val="28"/>
          <w:lang w:val="ru-RU"/>
        </w:rPr>
        <w:t xml:space="preserve"> 553</w:t>
      </w:r>
      <w:r>
        <w:rPr>
          <w:b w:val="0"/>
          <w:bCs w:val="0"/>
          <w:sz w:val="28"/>
          <w:szCs w:val="28"/>
        </w:rPr>
        <w:t xml:space="preserve"> </w:t>
      </w:r>
      <w:r>
        <w:rPr>
          <w:rFonts w:hint="default"/>
          <w:b w:val="0"/>
          <w:bCs w:val="0"/>
          <w:sz w:val="28"/>
          <w:szCs w:val="28"/>
          <w:lang w:val="ru-RU"/>
        </w:rPr>
        <w:t xml:space="preserve"> </w:t>
      </w:r>
      <w:r>
        <w:rPr>
          <w:b w:val="0"/>
          <w:bCs w:val="0"/>
          <w:sz w:val="28"/>
          <w:szCs w:val="28"/>
        </w:rPr>
        <w:t>«Об утверждении муниципальной программы</w:t>
      </w:r>
      <w:r>
        <w:rPr>
          <w:rFonts w:hint="default"/>
          <w:b w:val="0"/>
          <w:bCs w:val="0"/>
          <w:sz w:val="28"/>
          <w:szCs w:val="28"/>
          <w:lang w:val="ru-RU"/>
        </w:rPr>
        <w:t xml:space="preserve"> </w:t>
      </w:r>
      <w:r>
        <w:rPr>
          <w:bCs/>
          <w:sz w:val="28"/>
          <w:szCs w:val="28"/>
        </w:rPr>
        <w:t xml:space="preserve">«Развитие </w:t>
      </w:r>
      <w:r>
        <w:rPr>
          <w:sz w:val="28"/>
          <w:szCs w:val="28"/>
        </w:rPr>
        <w:t>молодежной политики и патриотического воспитания граждан в Анучинском муниципальном округе на 2020-2024 годы»</w:t>
      </w:r>
      <w:r>
        <w:rPr>
          <w:rFonts w:hint="default"/>
          <w:b w:val="0"/>
          <w:bCs w:val="0"/>
          <w:sz w:val="28"/>
          <w:szCs w:val="28"/>
          <w:lang w:val="ru-RU"/>
        </w:rPr>
        <w:t>» (</w:t>
      </w:r>
      <w:r>
        <w:rPr>
          <w:rFonts w:hint="default" w:ascii="Times New Roman" w:hAnsi="Times New Roman" w:cs="Times New Roman"/>
          <w:b w:val="0"/>
          <w:bCs w:val="0"/>
          <w:sz w:val="28"/>
          <w:szCs w:val="28"/>
          <w:lang w:val="ru-RU"/>
        </w:rPr>
        <w:t>далее Постановление)</w:t>
      </w:r>
      <w:r>
        <w:rPr>
          <w:rFonts w:hint="default"/>
          <w:b w:val="0"/>
          <w:bCs w:val="0"/>
          <w:sz w:val="28"/>
          <w:szCs w:val="28"/>
          <w:lang w:val="ru-RU"/>
        </w:rPr>
        <w:t xml:space="preserve"> </w:t>
      </w:r>
      <w:r>
        <w:rPr>
          <w:b w:val="0"/>
          <w:bCs w:val="0"/>
          <w:sz w:val="28"/>
          <w:szCs w:val="28"/>
        </w:rPr>
        <w:t>следующие изменения:</w:t>
      </w:r>
    </w:p>
    <w:p>
      <w:pPr>
        <w:pageBreakBefore w:val="0"/>
        <w:kinsoku/>
        <w:wordWrap/>
        <w:topLinePunct w:val="0"/>
        <w:autoSpaceDE w:val="0"/>
        <w:autoSpaceDN/>
        <w:bidi w:val="0"/>
        <w:adjustRightInd/>
        <w:snapToGrid/>
        <w:spacing w:line="360" w:lineRule="auto"/>
        <w:ind w:left="0" w:leftChars="0" w:firstLine="719" w:firstLineChars="257"/>
        <w:jc w:val="both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>1.1. В наименовании и</w:t>
      </w:r>
      <w:r>
        <w:rPr>
          <w:rFonts w:hint="default"/>
          <w:b w:val="0"/>
          <w:bCs w:val="0"/>
          <w:sz w:val="28"/>
          <w:szCs w:val="28"/>
          <w:lang w:val="ru-RU"/>
        </w:rPr>
        <w:t xml:space="preserve"> </w:t>
      </w:r>
      <w:r>
        <w:rPr>
          <w:b w:val="0"/>
          <w:bCs w:val="0"/>
          <w:sz w:val="28"/>
          <w:szCs w:val="28"/>
        </w:rPr>
        <w:t>по тексту Постановления слова «…202</w:t>
      </w:r>
      <w:r>
        <w:rPr>
          <w:rFonts w:hint="default"/>
          <w:b w:val="0"/>
          <w:bCs w:val="0"/>
          <w:sz w:val="28"/>
          <w:szCs w:val="28"/>
          <w:lang w:val="ru-RU"/>
        </w:rPr>
        <w:t>4</w:t>
      </w:r>
      <w:r>
        <w:rPr>
          <w:b w:val="0"/>
          <w:bCs w:val="0"/>
          <w:sz w:val="28"/>
          <w:szCs w:val="28"/>
        </w:rPr>
        <w:t>годы»  заменить  на слова « …202</w:t>
      </w:r>
      <w:r>
        <w:rPr>
          <w:rFonts w:hint="default"/>
          <w:b w:val="0"/>
          <w:bCs w:val="0"/>
          <w:sz w:val="28"/>
          <w:szCs w:val="28"/>
          <w:lang w:val="ru-RU"/>
        </w:rPr>
        <w:t>6</w:t>
      </w:r>
      <w:r>
        <w:rPr>
          <w:b w:val="0"/>
          <w:bCs w:val="0"/>
          <w:sz w:val="28"/>
          <w:szCs w:val="28"/>
        </w:rPr>
        <w:t>годы».</w:t>
      </w:r>
    </w:p>
    <w:p>
      <w:pPr>
        <w:pageBreakBefore w:val="0"/>
        <w:numPr>
          <w:ilvl w:val="0"/>
          <w:numId w:val="0"/>
        </w:numPr>
        <w:kinsoku/>
        <w:wordWrap/>
        <w:topLinePunct w:val="0"/>
        <w:autoSpaceDE w:val="0"/>
        <w:autoSpaceDN/>
        <w:bidi w:val="0"/>
        <w:adjustRightInd/>
        <w:snapToGrid/>
        <w:spacing w:line="360" w:lineRule="auto"/>
        <w:ind w:left="0" w:leftChars="0" w:firstLine="719" w:firstLineChars="257"/>
        <w:jc w:val="both"/>
        <w:rPr>
          <w:b/>
          <w:sz w:val="28"/>
          <w:szCs w:val="28"/>
        </w:rPr>
      </w:pPr>
      <w:r>
        <w:rPr>
          <w:rFonts w:hint="default"/>
          <w:sz w:val="28"/>
          <w:szCs w:val="28"/>
          <w:lang w:val="ru-RU"/>
        </w:rPr>
        <w:t xml:space="preserve">2. </w:t>
      </w:r>
      <w:r>
        <w:rPr>
          <w:sz w:val="28"/>
          <w:szCs w:val="28"/>
        </w:rPr>
        <w:t>В</w:t>
      </w:r>
      <w:r>
        <w:rPr>
          <w:sz w:val="28"/>
          <w:szCs w:val="28"/>
          <w:lang w:val="ru-RU"/>
        </w:rPr>
        <w:t>нести</w:t>
      </w:r>
      <w:r>
        <w:rPr>
          <w:rFonts w:hint="default"/>
          <w:sz w:val="28"/>
          <w:szCs w:val="28"/>
          <w:lang w:val="ru-RU"/>
        </w:rPr>
        <w:t xml:space="preserve"> в </w:t>
      </w:r>
      <w:r>
        <w:rPr>
          <w:sz w:val="28"/>
          <w:szCs w:val="28"/>
        </w:rPr>
        <w:t xml:space="preserve">муниципальную программу  </w:t>
      </w:r>
      <w:r>
        <w:rPr>
          <w:bCs/>
          <w:sz w:val="28"/>
          <w:szCs w:val="28"/>
        </w:rPr>
        <w:t xml:space="preserve">«Развитие </w:t>
      </w:r>
      <w:r>
        <w:rPr>
          <w:sz w:val="28"/>
          <w:szCs w:val="28"/>
        </w:rPr>
        <w:t>молодежной политики и патриотического воспитания граждан в Анучинском муниципальном округе на 2020-2024 годы», утвержденную постановлением администрации Анучинского муниципального района от 30.09.2019 г №55</w:t>
      </w:r>
      <w:r>
        <w:rPr>
          <w:rFonts w:hint="default"/>
          <w:sz w:val="28"/>
          <w:szCs w:val="28"/>
          <w:lang w:val="ru-RU"/>
        </w:rPr>
        <w:t>3</w:t>
      </w:r>
      <w:r>
        <w:rPr>
          <w:sz w:val="28"/>
          <w:szCs w:val="28"/>
        </w:rPr>
        <w:t xml:space="preserve"> (далее Программа) внести следующие изменения:</w:t>
      </w:r>
    </w:p>
    <w:p>
      <w:pPr>
        <w:pStyle w:val="10"/>
        <w:numPr>
          <w:ilvl w:val="0"/>
          <w:numId w:val="0"/>
        </w:numPr>
        <w:autoSpaceDE w:val="0"/>
        <w:autoSpaceDN w:val="0"/>
        <w:adjustRightInd w:val="0"/>
        <w:spacing w:line="360" w:lineRule="auto"/>
        <w:ind w:left="0" w:leftChars="0" w:firstLine="719" w:firstLineChars="257"/>
        <w:jc w:val="both"/>
        <w:rPr>
          <w:b w:val="0"/>
          <w:bCs w:val="0"/>
          <w:sz w:val="28"/>
          <w:szCs w:val="28"/>
        </w:rPr>
      </w:pPr>
      <w:r>
        <w:rPr>
          <w:rFonts w:hint="default"/>
          <w:b w:val="0"/>
          <w:bCs w:val="0"/>
          <w:sz w:val="28"/>
          <w:szCs w:val="28"/>
          <w:lang w:val="ru-RU"/>
        </w:rPr>
        <w:t xml:space="preserve">2.1. </w:t>
      </w:r>
      <w:r>
        <w:rPr>
          <w:b w:val="0"/>
          <w:bCs w:val="0"/>
          <w:sz w:val="28"/>
          <w:szCs w:val="28"/>
        </w:rPr>
        <w:t>В наименовании и по тексту П</w:t>
      </w:r>
      <w:r>
        <w:rPr>
          <w:b w:val="0"/>
          <w:bCs w:val="0"/>
          <w:sz w:val="28"/>
          <w:szCs w:val="28"/>
          <w:lang w:val="ru-RU"/>
        </w:rPr>
        <w:t>рограммы</w:t>
      </w:r>
      <w:r>
        <w:rPr>
          <w:b w:val="0"/>
          <w:bCs w:val="0"/>
          <w:sz w:val="28"/>
          <w:szCs w:val="28"/>
        </w:rPr>
        <w:t xml:space="preserve"> слова «…202</w:t>
      </w:r>
      <w:r>
        <w:rPr>
          <w:rFonts w:hint="default"/>
          <w:b w:val="0"/>
          <w:bCs w:val="0"/>
          <w:sz w:val="28"/>
          <w:szCs w:val="28"/>
          <w:lang w:val="ru-RU"/>
        </w:rPr>
        <w:t>4</w:t>
      </w:r>
      <w:r>
        <w:rPr>
          <w:b w:val="0"/>
          <w:bCs w:val="0"/>
          <w:sz w:val="28"/>
          <w:szCs w:val="28"/>
        </w:rPr>
        <w:t>годы»  заменить  на слова « …202</w:t>
      </w:r>
      <w:r>
        <w:rPr>
          <w:rFonts w:hint="default"/>
          <w:b w:val="0"/>
          <w:bCs w:val="0"/>
          <w:sz w:val="28"/>
          <w:szCs w:val="28"/>
          <w:lang w:val="ru-RU"/>
        </w:rPr>
        <w:t xml:space="preserve">6 </w:t>
      </w:r>
      <w:r>
        <w:rPr>
          <w:b w:val="0"/>
          <w:bCs w:val="0"/>
          <w:sz w:val="28"/>
          <w:szCs w:val="28"/>
        </w:rPr>
        <w:t>годы»</w:t>
      </w:r>
    </w:p>
    <w:p>
      <w:pPr>
        <w:pStyle w:val="10"/>
        <w:numPr>
          <w:ilvl w:val="0"/>
          <w:numId w:val="0"/>
        </w:numPr>
        <w:autoSpaceDE w:val="0"/>
        <w:autoSpaceDN w:val="0"/>
        <w:adjustRightInd w:val="0"/>
        <w:spacing w:line="360" w:lineRule="auto"/>
        <w:ind w:left="0" w:leftChars="0" w:firstLine="719" w:firstLineChars="257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hint="default"/>
          <w:b w:val="0"/>
          <w:bCs w:val="0"/>
          <w:sz w:val="28"/>
          <w:szCs w:val="28"/>
          <w:lang w:val="ru-RU"/>
        </w:rPr>
        <w:t xml:space="preserve">2.2. 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>Паспорт Программы, раздел «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Объем средств бюджета Анучинского муниципального округа на финансирование </w:t>
      </w:r>
      <w:r>
        <w:rPr>
          <w:rFonts w:ascii="Times New Roman" w:hAnsi="Times New Roman" w:cs="Times New Roman"/>
          <w:b w:val="0"/>
          <w:spacing w:val="2"/>
          <w:sz w:val="28"/>
          <w:szCs w:val="28"/>
          <w:shd w:val="clear" w:color="auto" w:fill="FFFFFF"/>
        </w:rPr>
        <w:t>муниципальной программы и прогнозная оценка привлекаемых на реализацию ее целей средств федерального, краевого бюджетов, внебюджетных средств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» читать в новой редакции: </w:t>
      </w:r>
    </w:p>
    <w:tbl>
      <w:tblPr>
        <w:tblStyle w:val="8"/>
        <w:tblW w:w="952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503"/>
        <w:gridCol w:w="502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03" w:type="dxa"/>
          </w:tcPr>
          <w:p>
            <w:pPr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Объем средств бюджета Анучинского муниципального района на финансирование </w:t>
            </w:r>
            <w:r>
              <w:rPr>
                <w:spacing w:val="2"/>
                <w:sz w:val="28"/>
                <w:szCs w:val="28"/>
                <w:shd w:val="clear" w:color="auto" w:fill="FFFFFF"/>
              </w:rPr>
              <w:t>муниципальной программы и прогнозная оценка привлекаемых на реализацию ее целей средств федерального, краевого бюджетов, внебюджетных средств</w:t>
            </w:r>
          </w:p>
        </w:tc>
        <w:tc>
          <w:tcPr>
            <w:tcW w:w="5022" w:type="dxa"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Общий объем финансирования –</w:t>
            </w:r>
            <w:r>
              <w:rPr>
                <w:rFonts w:hint="default"/>
                <w:sz w:val="28"/>
                <w:szCs w:val="28"/>
                <w:lang w:val="ru-RU"/>
              </w:rPr>
              <w:t>1798</w:t>
            </w:r>
            <w:r>
              <w:rPr>
                <w:sz w:val="28"/>
                <w:szCs w:val="28"/>
              </w:rPr>
              <w:t>,962 тыс.</w:t>
            </w:r>
            <w:r>
              <w:rPr>
                <w:color w:val="FF0000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 рублей, в т.ч. по годам:</w:t>
            </w:r>
          </w:p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2020 г.- 277,962 тыс.рублей;</w:t>
            </w:r>
          </w:p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2021 г.- </w:t>
            </w:r>
            <w:r>
              <w:rPr>
                <w:rFonts w:hint="default"/>
                <w:sz w:val="28"/>
                <w:szCs w:val="28"/>
                <w:lang w:val="ru-RU"/>
              </w:rPr>
              <w:t>201</w:t>
            </w:r>
            <w:r>
              <w:rPr>
                <w:sz w:val="28"/>
                <w:szCs w:val="28"/>
              </w:rPr>
              <w:t>,0 тыс.рублей;</w:t>
            </w:r>
          </w:p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2022 г.- 170,0 тыс.рублей;</w:t>
            </w:r>
          </w:p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2023 г.- </w:t>
            </w:r>
            <w:r>
              <w:rPr>
                <w:rFonts w:hint="default"/>
                <w:sz w:val="28"/>
                <w:szCs w:val="28"/>
                <w:lang w:val="ru-RU"/>
              </w:rPr>
              <w:t>63</w:t>
            </w:r>
            <w:r>
              <w:rPr>
                <w:sz w:val="28"/>
                <w:szCs w:val="28"/>
              </w:rPr>
              <w:t>0,0 тыс.рублей;</w:t>
            </w:r>
          </w:p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2024 г.- </w:t>
            </w:r>
            <w:r>
              <w:rPr>
                <w:rFonts w:hint="default"/>
                <w:sz w:val="28"/>
                <w:szCs w:val="28"/>
                <w:lang w:val="ru-RU"/>
              </w:rPr>
              <w:t>20</w:t>
            </w:r>
            <w:r>
              <w:rPr>
                <w:sz w:val="28"/>
                <w:szCs w:val="28"/>
              </w:rPr>
              <w:t>0,0 тыс.рублей;</w:t>
            </w:r>
          </w:p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</w:t>
            </w:r>
            <w:r>
              <w:rPr>
                <w:rFonts w:hint="default"/>
                <w:sz w:val="28"/>
                <w:szCs w:val="28"/>
                <w:lang w:val="en-US"/>
              </w:rPr>
              <w:t>5</w:t>
            </w:r>
            <w:r>
              <w:rPr>
                <w:sz w:val="28"/>
                <w:szCs w:val="28"/>
              </w:rPr>
              <w:t xml:space="preserve"> г.- </w:t>
            </w:r>
            <w:r>
              <w:rPr>
                <w:rFonts w:hint="default"/>
                <w:sz w:val="28"/>
                <w:szCs w:val="28"/>
                <w:lang w:val="ru-RU"/>
              </w:rPr>
              <w:t>16</w:t>
            </w:r>
            <w:r>
              <w:rPr>
                <w:sz w:val="28"/>
                <w:szCs w:val="28"/>
              </w:rPr>
              <w:t>0,0 тыс.рублей;</w:t>
            </w:r>
          </w:p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</w:t>
            </w:r>
            <w:r>
              <w:rPr>
                <w:rFonts w:hint="default"/>
                <w:sz w:val="28"/>
                <w:szCs w:val="28"/>
                <w:lang w:val="ru-RU"/>
              </w:rPr>
              <w:t>6</w:t>
            </w:r>
            <w:r>
              <w:rPr>
                <w:sz w:val="28"/>
                <w:szCs w:val="28"/>
              </w:rPr>
              <w:t xml:space="preserve"> г.- </w:t>
            </w:r>
            <w:r>
              <w:rPr>
                <w:rFonts w:hint="default"/>
                <w:sz w:val="28"/>
                <w:szCs w:val="28"/>
                <w:lang w:val="ru-RU"/>
              </w:rPr>
              <w:t>16</w:t>
            </w:r>
            <w:r>
              <w:rPr>
                <w:sz w:val="28"/>
                <w:szCs w:val="28"/>
              </w:rPr>
              <w:t>0,0 тыс.рублей;</w:t>
            </w:r>
          </w:p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Источник финансирования:</w:t>
            </w:r>
          </w:p>
          <w:p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sz w:val="28"/>
                <w:szCs w:val="28"/>
              </w:rPr>
              <w:t>бюджет Анучинского  муниципального округа</w:t>
            </w:r>
          </w:p>
        </w:tc>
      </w:tr>
    </w:tbl>
    <w:p>
      <w:pPr>
        <w:shd w:val="clear" w:color="auto" w:fill="FFFFFF"/>
        <w:spacing w:before="108" w:after="108"/>
        <w:ind w:firstLine="708"/>
        <w:jc w:val="both"/>
        <w:outlineLvl w:val="0"/>
        <w:rPr>
          <w:kern w:val="36"/>
          <w:sz w:val="28"/>
          <w:szCs w:val="28"/>
        </w:rPr>
      </w:pPr>
      <w:r>
        <w:rPr>
          <w:rFonts w:hint="default"/>
          <w:spacing w:val="2"/>
          <w:sz w:val="28"/>
          <w:szCs w:val="28"/>
          <w:lang w:val="ru-RU"/>
        </w:rPr>
        <w:t>2</w:t>
      </w:r>
      <w:r>
        <w:rPr>
          <w:spacing w:val="2"/>
          <w:sz w:val="28"/>
          <w:szCs w:val="28"/>
        </w:rPr>
        <w:t>.</w:t>
      </w:r>
      <w:r>
        <w:rPr>
          <w:rFonts w:hint="default"/>
          <w:spacing w:val="2"/>
          <w:sz w:val="28"/>
          <w:szCs w:val="28"/>
          <w:lang w:val="ru-RU"/>
        </w:rPr>
        <w:t>3</w:t>
      </w:r>
      <w:r>
        <w:rPr>
          <w:spacing w:val="2"/>
          <w:sz w:val="28"/>
          <w:szCs w:val="28"/>
        </w:rPr>
        <w:t>.</w:t>
      </w:r>
      <w:r>
        <w:rPr>
          <w:rFonts w:hint="default"/>
          <w:spacing w:val="2"/>
          <w:sz w:val="28"/>
          <w:szCs w:val="28"/>
          <w:lang w:val="ru-RU"/>
        </w:rPr>
        <w:t xml:space="preserve"> </w:t>
      </w:r>
      <w:r>
        <w:rPr>
          <w:spacing w:val="2"/>
          <w:sz w:val="28"/>
          <w:szCs w:val="28"/>
        </w:rPr>
        <w:t xml:space="preserve">Паспорт программы, раздел 7. </w:t>
      </w:r>
      <w:r>
        <w:rPr>
          <w:kern w:val="36"/>
          <w:sz w:val="28"/>
          <w:szCs w:val="28"/>
        </w:rPr>
        <w:t>Ресурсное обеспечении программы, читать в новой редакции</w:t>
      </w:r>
    </w:p>
    <w:tbl>
      <w:tblPr>
        <w:tblStyle w:val="8"/>
        <w:tblW w:w="10057" w:type="dxa"/>
        <w:tblInd w:w="-3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22"/>
        <w:gridCol w:w="1597"/>
        <w:gridCol w:w="740"/>
        <w:gridCol w:w="770"/>
        <w:gridCol w:w="450"/>
        <w:gridCol w:w="391"/>
        <w:gridCol w:w="425"/>
        <w:gridCol w:w="426"/>
        <w:gridCol w:w="628"/>
        <w:gridCol w:w="670"/>
        <w:gridCol w:w="670"/>
        <w:gridCol w:w="680"/>
        <w:gridCol w:w="720"/>
        <w:gridCol w:w="670"/>
        <w:gridCol w:w="59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22" w:type="dxa"/>
            <w:vMerge w:val="restart"/>
          </w:tcPr>
          <w:p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№п/п</w:t>
            </w:r>
          </w:p>
        </w:tc>
        <w:tc>
          <w:tcPr>
            <w:tcW w:w="1597" w:type="dxa"/>
            <w:vMerge w:val="restart"/>
          </w:tcPr>
          <w:p>
            <w:pPr>
              <w:jc w:val="both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Наименование подпрограммы, основного мероприятия подпрограммы, отдельного мероприятия программы</w:t>
            </w:r>
          </w:p>
        </w:tc>
        <w:tc>
          <w:tcPr>
            <w:tcW w:w="740" w:type="dxa"/>
            <w:vMerge w:val="restart"/>
          </w:tcPr>
          <w:p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Ответственный исполнитель, соисполнитель/ГРБС</w:t>
            </w:r>
          </w:p>
        </w:tc>
        <w:tc>
          <w:tcPr>
            <w:tcW w:w="770" w:type="dxa"/>
            <w:vMerge w:val="restart"/>
          </w:tcPr>
          <w:p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Источник ресурсного обеспечения</w:t>
            </w:r>
          </w:p>
        </w:tc>
        <w:tc>
          <w:tcPr>
            <w:tcW w:w="2320" w:type="dxa"/>
            <w:gridSpan w:val="5"/>
          </w:tcPr>
          <w:p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Код бюджетной классификации</w:t>
            </w:r>
          </w:p>
        </w:tc>
        <w:tc>
          <w:tcPr>
            <w:tcW w:w="4008" w:type="dxa"/>
            <w:gridSpan w:val="6"/>
          </w:tcPr>
          <w:p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Оценка расходов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34" w:hRule="atLeast"/>
        </w:trPr>
        <w:tc>
          <w:tcPr>
            <w:tcW w:w="622" w:type="dxa"/>
            <w:vMerge w:val="continue"/>
          </w:tcPr>
          <w:p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1597" w:type="dxa"/>
            <w:vMerge w:val="continue"/>
          </w:tcPr>
          <w:p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740" w:type="dxa"/>
            <w:vMerge w:val="continue"/>
          </w:tcPr>
          <w:p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770" w:type="dxa"/>
            <w:vMerge w:val="continue"/>
          </w:tcPr>
          <w:p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450" w:type="dxa"/>
          </w:tcPr>
          <w:p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ГРБС</w:t>
            </w:r>
          </w:p>
        </w:tc>
        <w:tc>
          <w:tcPr>
            <w:tcW w:w="391" w:type="dxa"/>
          </w:tcPr>
          <w:p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РзПр</w:t>
            </w:r>
          </w:p>
        </w:tc>
        <w:tc>
          <w:tcPr>
            <w:tcW w:w="425" w:type="dxa"/>
          </w:tcPr>
          <w:p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ЦСР</w:t>
            </w:r>
          </w:p>
        </w:tc>
        <w:tc>
          <w:tcPr>
            <w:tcW w:w="426" w:type="dxa"/>
          </w:tcPr>
          <w:p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ВР</w:t>
            </w:r>
          </w:p>
        </w:tc>
        <w:tc>
          <w:tcPr>
            <w:tcW w:w="628" w:type="dxa"/>
            <w:textDirection w:val="btLr"/>
            <w:vAlign w:val="center"/>
          </w:tcPr>
          <w:p>
            <w:pPr>
              <w:ind w:left="113" w:right="113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2020</w:t>
            </w:r>
          </w:p>
        </w:tc>
        <w:tc>
          <w:tcPr>
            <w:tcW w:w="670" w:type="dxa"/>
            <w:textDirection w:val="btLr"/>
            <w:vAlign w:val="center"/>
          </w:tcPr>
          <w:p>
            <w:pPr>
              <w:ind w:left="113" w:right="113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2021</w:t>
            </w:r>
          </w:p>
        </w:tc>
        <w:tc>
          <w:tcPr>
            <w:tcW w:w="670" w:type="dxa"/>
            <w:textDirection w:val="btLr"/>
            <w:vAlign w:val="center"/>
          </w:tcPr>
          <w:p>
            <w:pPr>
              <w:ind w:left="113" w:right="113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2022</w:t>
            </w:r>
          </w:p>
        </w:tc>
        <w:tc>
          <w:tcPr>
            <w:tcW w:w="680" w:type="dxa"/>
            <w:textDirection w:val="btLr"/>
            <w:vAlign w:val="center"/>
          </w:tcPr>
          <w:p>
            <w:pPr>
              <w:ind w:left="113" w:right="113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2023</w:t>
            </w:r>
          </w:p>
        </w:tc>
        <w:tc>
          <w:tcPr>
            <w:tcW w:w="720" w:type="dxa"/>
            <w:textDirection w:val="btLr"/>
            <w:vAlign w:val="center"/>
          </w:tcPr>
          <w:p>
            <w:pPr>
              <w:ind w:left="113" w:right="113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2024</w:t>
            </w:r>
          </w:p>
        </w:tc>
        <w:tc>
          <w:tcPr>
            <w:tcW w:w="670" w:type="dxa"/>
            <w:textDirection w:val="btLr"/>
            <w:vAlign w:val="center"/>
          </w:tcPr>
          <w:p>
            <w:pPr>
              <w:ind w:left="113" w:right="113"/>
              <w:jc w:val="center"/>
              <w:rPr>
                <w:rFonts w:hint="default"/>
                <w:color w:val="000000"/>
                <w:sz w:val="16"/>
                <w:szCs w:val="16"/>
                <w:lang w:val="ru-RU"/>
              </w:rPr>
            </w:pPr>
            <w:r>
              <w:rPr>
                <w:color w:val="000000"/>
                <w:sz w:val="16"/>
                <w:szCs w:val="16"/>
              </w:rPr>
              <w:t>202</w:t>
            </w:r>
            <w:r>
              <w:rPr>
                <w:rFonts w:hint="default"/>
                <w:color w:val="000000"/>
                <w:sz w:val="16"/>
                <w:szCs w:val="16"/>
                <w:lang w:val="ru-RU"/>
              </w:rPr>
              <w:t>5</w:t>
            </w:r>
          </w:p>
        </w:tc>
        <w:tc>
          <w:tcPr>
            <w:tcW w:w="598" w:type="dxa"/>
            <w:textDirection w:val="btLr"/>
            <w:vAlign w:val="center"/>
          </w:tcPr>
          <w:p>
            <w:pPr>
              <w:ind w:left="113" w:right="113"/>
              <w:jc w:val="center"/>
              <w:rPr>
                <w:rFonts w:hint="default"/>
                <w:color w:val="000000"/>
                <w:sz w:val="16"/>
                <w:szCs w:val="16"/>
                <w:lang w:val="ru-RU"/>
              </w:rPr>
            </w:pPr>
            <w:r>
              <w:rPr>
                <w:rFonts w:hint="default"/>
                <w:color w:val="000000"/>
                <w:sz w:val="16"/>
                <w:szCs w:val="16"/>
                <w:lang w:val="ru-RU"/>
              </w:rPr>
              <w:t>2026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22" w:type="dxa"/>
            <w:vMerge w:val="restart"/>
          </w:tcPr>
          <w:p>
            <w:pPr>
              <w:jc w:val="both"/>
              <w:rPr>
                <w:rFonts w:hint="default"/>
                <w:color w:val="000000"/>
                <w:sz w:val="20"/>
                <w:szCs w:val="20"/>
                <w:lang w:val="ru-RU"/>
              </w:rPr>
            </w:pPr>
            <w:r>
              <w:rPr>
                <w:rFonts w:hint="default"/>
                <w:color w:val="000000"/>
                <w:sz w:val="20"/>
                <w:szCs w:val="20"/>
                <w:lang w:val="ru-RU"/>
              </w:rPr>
              <w:t>1</w:t>
            </w:r>
          </w:p>
        </w:tc>
        <w:tc>
          <w:tcPr>
            <w:tcW w:w="1597" w:type="dxa"/>
            <w:vMerge w:val="restart"/>
          </w:tcPr>
          <w:p>
            <w:pPr>
              <w:jc w:val="both"/>
              <w:rPr>
                <w:b/>
                <w:spacing w:val="2"/>
                <w:sz w:val="20"/>
                <w:szCs w:val="20"/>
                <w:shd w:val="clear" w:color="auto" w:fill="FFFFFF"/>
              </w:rPr>
            </w:pPr>
            <w:r>
              <w:rPr>
                <w:b/>
                <w:spacing w:val="2"/>
                <w:sz w:val="20"/>
                <w:szCs w:val="20"/>
                <w:shd w:val="clear" w:color="auto" w:fill="FFFFFF"/>
              </w:rPr>
              <w:t>Муниципальная программа</w:t>
            </w:r>
          </w:p>
          <w:p>
            <w:pPr>
              <w:autoSpaceDE w:val="0"/>
              <w:autoSpaceDN w:val="0"/>
              <w:adjustRightInd w:val="0"/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«Развитие </w:t>
            </w:r>
            <w:r>
              <w:rPr>
                <w:b/>
                <w:sz w:val="20"/>
                <w:szCs w:val="20"/>
              </w:rPr>
              <w:t>молодежной политики и патриотического воспитания граждан в Анучинском муниципальном округе на 2020-2024 годы»</w:t>
            </w:r>
          </w:p>
          <w:p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740" w:type="dxa"/>
            <w:vMerge w:val="restart"/>
          </w:tcPr>
          <w:p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Отдел социального развития </w:t>
            </w:r>
          </w:p>
        </w:tc>
        <w:tc>
          <w:tcPr>
            <w:tcW w:w="770" w:type="dxa"/>
          </w:tcPr>
          <w:p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450" w:type="dxa"/>
          </w:tcPr>
          <w:p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391" w:type="dxa"/>
          </w:tcPr>
          <w:p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</w:tcPr>
          <w:p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426" w:type="dxa"/>
          </w:tcPr>
          <w:p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628" w:type="dxa"/>
          </w:tcPr>
          <w:p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277,962</w:t>
            </w:r>
          </w:p>
        </w:tc>
        <w:tc>
          <w:tcPr>
            <w:tcW w:w="670" w:type="dxa"/>
          </w:tcPr>
          <w:p>
            <w:pPr>
              <w:ind w:right="-108"/>
              <w:rPr>
                <w:sz w:val="20"/>
                <w:szCs w:val="20"/>
              </w:rPr>
            </w:pPr>
            <w:r>
              <w:rPr>
                <w:rFonts w:hint="default"/>
                <w:color w:val="000000"/>
                <w:sz w:val="20"/>
                <w:szCs w:val="20"/>
                <w:lang w:val="ru-RU"/>
              </w:rPr>
              <w:t>201</w:t>
            </w:r>
            <w:r>
              <w:rPr>
                <w:color w:val="000000"/>
                <w:sz w:val="20"/>
                <w:szCs w:val="20"/>
              </w:rPr>
              <w:t>,0</w:t>
            </w:r>
          </w:p>
        </w:tc>
        <w:tc>
          <w:tcPr>
            <w:tcW w:w="670" w:type="dxa"/>
          </w:tcPr>
          <w:p>
            <w:pPr>
              <w:ind w:right="-108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170,0</w:t>
            </w:r>
          </w:p>
        </w:tc>
        <w:tc>
          <w:tcPr>
            <w:tcW w:w="680" w:type="dxa"/>
          </w:tcPr>
          <w:p>
            <w:pPr>
              <w:ind w:right="-108"/>
              <w:rPr>
                <w:sz w:val="20"/>
                <w:szCs w:val="20"/>
              </w:rPr>
            </w:pPr>
            <w:r>
              <w:rPr>
                <w:rFonts w:hint="default"/>
                <w:color w:val="000000"/>
                <w:sz w:val="20"/>
                <w:szCs w:val="20"/>
                <w:lang w:val="ru-RU"/>
              </w:rPr>
              <w:t>630</w:t>
            </w:r>
            <w:r>
              <w:rPr>
                <w:color w:val="000000"/>
                <w:sz w:val="20"/>
                <w:szCs w:val="20"/>
              </w:rPr>
              <w:t>,0</w:t>
            </w:r>
          </w:p>
        </w:tc>
        <w:tc>
          <w:tcPr>
            <w:tcW w:w="720" w:type="dxa"/>
          </w:tcPr>
          <w:p>
            <w:pPr>
              <w:ind w:right="-108"/>
              <w:rPr>
                <w:sz w:val="20"/>
                <w:szCs w:val="20"/>
              </w:rPr>
            </w:pPr>
            <w:r>
              <w:rPr>
                <w:rFonts w:hint="default"/>
                <w:color w:val="000000"/>
                <w:sz w:val="20"/>
                <w:szCs w:val="20"/>
                <w:lang w:val="ru-RU"/>
              </w:rPr>
              <w:t>200</w:t>
            </w:r>
            <w:r>
              <w:rPr>
                <w:color w:val="000000"/>
                <w:sz w:val="20"/>
                <w:szCs w:val="20"/>
              </w:rPr>
              <w:t>,0</w:t>
            </w:r>
          </w:p>
        </w:tc>
        <w:tc>
          <w:tcPr>
            <w:tcW w:w="670" w:type="dxa"/>
          </w:tcPr>
          <w:p>
            <w:pPr>
              <w:ind w:right="-108"/>
              <w:rPr>
                <w:rFonts w:hint="default"/>
                <w:color w:val="000000"/>
                <w:sz w:val="20"/>
                <w:szCs w:val="20"/>
                <w:lang w:val="ru-RU"/>
              </w:rPr>
            </w:pPr>
            <w:r>
              <w:rPr>
                <w:rFonts w:hint="default"/>
                <w:color w:val="000000"/>
                <w:sz w:val="20"/>
                <w:szCs w:val="20"/>
                <w:lang w:val="ru-RU"/>
              </w:rPr>
              <w:t>160,0</w:t>
            </w:r>
          </w:p>
        </w:tc>
        <w:tc>
          <w:tcPr>
            <w:tcW w:w="598" w:type="dxa"/>
            <w:vAlign w:val="top"/>
          </w:tcPr>
          <w:p>
            <w:pPr>
              <w:ind w:right="-108" w:rightChars="0"/>
              <w:rPr>
                <w:rFonts w:hint="default"/>
                <w:color w:val="000000"/>
                <w:sz w:val="20"/>
                <w:szCs w:val="20"/>
                <w:lang w:val="ru-RU"/>
              </w:rPr>
            </w:pPr>
            <w:r>
              <w:rPr>
                <w:rFonts w:hint="default"/>
                <w:color w:val="000000"/>
                <w:sz w:val="20"/>
                <w:szCs w:val="20"/>
                <w:lang w:val="ru-RU"/>
              </w:rPr>
              <w:t>160,0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22" w:type="dxa"/>
            <w:vMerge w:val="continue"/>
          </w:tcPr>
          <w:p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597" w:type="dxa"/>
            <w:vMerge w:val="continue"/>
          </w:tcPr>
          <w:p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740" w:type="dxa"/>
            <w:vMerge w:val="continue"/>
          </w:tcPr>
          <w:p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770" w:type="dxa"/>
          </w:tcPr>
          <w:p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Бюджет АМО</w:t>
            </w:r>
          </w:p>
        </w:tc>
        <w:tc>
          <w:tcPr>
            <w:tcW w:w="450" w:type="dxa"/>
          </w:tcPr>
          <w:p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391" w:type="dxa"/>
          </w:tcPr>
          <w:p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</w:tcPr>
          <w:p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426" w:type="dxa"/>
          </w:tcPr>
          <w:p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628" w:type="dxa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277,962</w:t>
            </w:r>
          </w:p>
        </w:tc>
        <w:tc>
          <w:tcPr>
            <w:tcW w:w="670" w:type="dxa"/>
          </w:tcPr>
          <w:p>
            <w:pPr>
              <w:ind w:right="-108"/>
              <w:rPr>
                <w:sz w:val="20"/>
                <w:szCs w:val="20"/>
              </w:rPr>
            </w:pPr>
            <w:r>
              <w:rPr>
                <w:rFonts w:hint="default"/>
                <w:color w:val="000000"/>
                <w:sz w:val="20"/>
                <w:szCs w:val="20"/>
                <w:lang w:val="ru-RU"/>
              </w:rPr>
              <w:t>201</w:t>
            </w:r>
            <w:r>
              <w:rPr>
                <w:color w:val="000000"/>
                <w:sz w:val="20"/>
                <w:szCs w:val="20"/>
              </w:rPr>
              <w:t>,0</w:t>
            </w:r>
          </w:p>
        </w:tc>
        <w:tc>
          <w:tcPr>
            <w:tcW w:w="670" w:type="dxa"/>
          </w:tcPr>
          <w:p>
            <w:pPr>
              <w:ind w:right="-108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170,0</w:t>
            </w:r>
          </w:p>
        </w:tc>
        <w:tc>
          <w:tcPr>
            <w:tcW w:w="680" w:type="dxa"/>
          </w:tcPr>
          <w:p>
            <w:pPr>
              <w:ind w:right="-108"/>
              <w:rPr>
                <w:sz w:val="20"/>
                <w:szCs w:val="20"/>
              </w:rPr>
            </w:pPr>
            <w:r>
              <w:rPr>
                <w:rFonts w:hint="default"/>
                <w:color w:val="000000"/>
                <w:sz w:val="20"/>
                <w:szCs w:val="20"/>
                <w:lang w:val="ru-RU"/>
              </w:rPr>
              <w:t>630</w:t>
            </w:r>
            <w:r>
              <w:rPr>
                <w:color w:val="000000"/>
                <w:sz w:val="20"/>
                <w:szCs w:val="20"/>
              </w:rPr>
              <w:t>,0</w:t>
            </w:r>
          </w:p>
        </w:tc>
        <w:tc>
          <w:tcPr>
            <w:tcW w:w="720" w:type="dxa"/>
          </w:tcPr>
          <w:p>
            <w:pPr>
              <w:ind w:right="-108"/>
              <w:rPr>
                <w:sz w:val="20"/>
                <w:szCs w:val="20"/>
              </w:rPr>
            </w:pPr>
            <w:r>
              <w:rPr>
                <w:rFonts w:hint="default"/>
                <w:color w:val="000000"/>
                <w:sz w:val="20"/>
                <w:szCs w:val="20"/>
                <w:lang w:val="ru-RU"/>
              </w:rPr>
              <w:t>200</w:t>
            </w:r>
            <w:r>
              <w:rPr>
                <w:color w:val="000000"/>
                <w:sz w:val="20"/>
                <w:szCs w:val="20"/>
              </w:rPr>
              <w:t>,0</w:t>
            </w:r>
          </w:p>
        </w:tc>
        <w:tc>
          <w:tcPr>
            <w:tcW w:w="670" w:type="dxa"/>
          </w:tcPr>
          <w:p>
            <w:pPr>
              <w:ind w:right="-108"/>
              <w:rPr>
                <w:rFonts w:hint="default"/>
                <w:color w:val="000000"/>
                <w:sz w:val="20"/>
                <w:szCs w:val="20"/>
                <w:lang w:val="ru-RU"/>
              </w:rPr>
            </w:pPr>
            <w:r>
              <w:rPr>
                <w:rFonts w:hint="default"/>
                <w:color w:val="000000"/>
                <w:sz w:val="20"/>
                <w:szCs w:val="20"/>
                <w:lang w:val="ru-RU"/>
              </w:rPr>
              <w:t>160,0</w:t>
            </w:r>
          </w:p>
        </w:tc>
        <w:tc>
          <w:tcPr>
            <w:tcW w:w="598" w:type="dxa"/>
            <w:vAlign w:val="top"/>
          </w:tcPr>
          <w:p>
            <w:pPr>
              <w:ind w:right="-108" w:rightChars="0"/>
              <w:rPr>
                <w:rFonts w:hint="default"/>
                <w:color w:val="000000"/>
                <w:sz w:val="20"/>
                <w:szCs w:val="20"/>
                <w:lang w:val="ru-RU"/>
              </w:rPr>
            </w:pPr>
            <w:r>
              <w:rPr>
                <w:rFonts w:hint="default"/>
                <w:color w:val="000000"/>
                <w:sz w:val="20"/>
                <w:szCs w:val="20"/>
                <w:lang w:val="ru-RU"/>
              </w:rPr>
              <w:t>160,0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22" w:type="dxa"/>
            <w:vMerge w:val="restart"/>
          </w:tcPr>
          <w:p>
            <w:pPr>
              <w:jc w:val="both"/>
              <w:rPr>
                <w:rFonts w:hint="default"/>
                <w:color w:val="000000"/>
                <w:sz w:val="20"/>
                <w:szCs w:val="20"/>
                <w:lang w:val="ru-RU"/>
              </w:rPr>
            </w:pPr>
            <w:r>
              <w:rPr>
                <w:rFonts w:hint="default"/>
                <w:color w:val="000000"/>
                <w:sz w:val="20"/>
                <w:szCs w:val="20"/>
                <w:lang w:val="ru-RU"/>
              </w:rPr>
              <w:t>1.2</w:t>
            </w:r>
          </w:p>
        </w:tc>
        <w:tc>
          <w:tcPr>
            <w:tcW w:w="1597" w:type="dxa"/>
            <w:vMerge w:val="restart"/>
          </w:tcPr>
          <w:p>
            <w:pPr>
              <w:jc w:val="both"/>
              <w:outlineLvl w:val="0"/>
              <w:rPr>
                <w:bCs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Подпрограмма №1 </w:t>
            </w:r>
            <w:r>
              <w:rPr>
                <w:b/>
                <w:bCs/>
                <w:sz w:val="20"/>
                <w:szCs w:val="20"/>
              </w:rPr>
              <w:t xml:space="preserve">«Патриотическое воспитание граждан Анучинского муниципального </w:t>
            </w:r>
            <w:r>
              <w:rPr>
                <w:b/>
                <w:bCs w:val="0"/>
                <w:sz w:val="20"/>
                <w:szCs w:val="20"/>
              </w:rPr>
              <w:t>округа»</w:t>
            </w:r>
          </w:p>
          <w:p>
            <w:pPr>
              <w:jc w:val="both"/>
              <w:rPr>
                <w:rFonts w:hint="default"/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740" w:type="dxa"/>
            <w:vMerge w:val="restart"/>
          </w:tcPr>
          <w:p>
            <w:pPr>
              <w:ind w:right="-14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Отдел соцразвития, КУ МОУО</w:t>
            </w:r>
          </w:p>
          <w:p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учреждения культуры, образовательные учреждения</w:t>
            </w:r>
          </w:p>
        </w:tc>
        <w:tc>
          <w:tcPr>
            <w:tcW w:w="770" w:type="dxa"/>
          </w:tcPr>
          <w:p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450" w:type="dxa"/>
          </w:tcPr>
          <w:p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391" w:type="dxa"/>
          </w:tcPr>
          <w:p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</w:tcPr>
          <w:p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426" w:type="dxa"/>
          </w:tcPr>
          <w:p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628" w:type="dxa"/>
          </w:tcPr>
          <w:p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118,462</w:t>
            </w:r>
          </w:p>
        </w:tc>
        <w:tc>
          <w:tcPr>
            <w:tcW w:w="670" w:type="dxa"/>
          </w:tcPr>
          <w:p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90,0</w:t>
            </w:r>
          </w:p>
        </w:tc>
        <w:tc>
          <w:tcPr>
            <w:tcW w:w="670" w:type="dxa"/>
          </w:tcPr>
          <w:p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90,0</w:t>
            </w:r>
          </w:p>
        </w:tc>
        <w:tc>
          <w:tcPr>
            <w:tcW w:w="680" w:type="dxa"/>
          </w:tcPr>
          <w:p>
            <w:pPr>
              <w:rPr>
                <w:sz w:val="20"/>
                <w:szCs w:val="20"/>
              </w:rPr>
            </w:pPr>
            <w:r>
              <w:rPr>
                <w:rFonts w:hint="default"/>
                <w:color w:val="000000"/>
                <w:sz w:val="20"/>
                <w:szCs w:val="20"/>
                <w:lang w:val="ru-RU"/>
              </w:rPr>
              <w:t>170</w:t>
            </w:r>
            <w:r>
              <w:rPr>
                <w:color w:val="000000"/>
                <w:sz w:val="20"/>
                <w:szCs w:val="20"/>
              </w:rPr>
              <w:t>,0</w:t>
            </w:r>
          </w:p>
        </w:tc>
        <w:tc>
          <w:tcPr>
            <w:tcW w:w="720" w:type="dxa"/>
          </w:tcPr>
          <w:p>
            <w:pPr>
              <w:rPr>
                <w:sz w:val="20"/>
                <w:szCs w:val="20"/>
              </w:rPr>
            </w:pPr>
            <w:r>
              <w:rPr>
                <w:rFonts w:hint="default"/>
                <w:color w:val="000000"/>
                <w:sz w:val="20"/>
                <w:szCs w:val="20"/>
                <w:lang w:val="ru-RU"/>
              </w:rPr>
              <w:t>10</w:t>
            </w: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670" w:type="dxa"/>
            <w:vAlign w:val="top"/>
          </w:tcPr>
          <w:p>
            <w:pPr>
              <w:rPr>
                <w:rFonts w:hint="default" w:ascii="Times New Roman" w:hAnsi="Times New Roman" w:eastAsia="Times New Roman" w:cs="Times New Roman"/>
                <w:sz w:val="20"/>
                <w:szCs w:val="20"/>
                <w:lang w:val="ru-RU" w:eastAsia="ru-RU" w:bidi="ar-SA"/>
              </w:rPr>
            </w:pPr>
            <w:r>
              <w:rPr>
                <w:rFonts w:hint="default"/>
                <w:color w:val="000000"/>
                <w:sz w:val="20"/>
                <w:szCs w:val="20"/>
                <w:lang w:val="ru-RU"/>
              </w:rPr>
              <w:t>10</w:t>
            </w: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598" w:type="dxa"/>
            <w:vAlign w:val="top"/>
          </w:tcPr>
          <w:p>
            <w:pPr>
              <w:rPr>
                <w:rFonts w:hint="default"/>
                <w:color w:val="000000"/>
                <w:sz w:val="20"/>
                <w:szCs w:val="20"/>
                <w:lang w:val="ru-RU"/>
              </w:rPr>
            </w:pPr>
            <w:r>
              <w:rPr>
                <w:rFonts w:hint="default"/>
                <w:color w:val="000000"/>
                <w:sz w:val="20"/>
                <w:szCs w:val="20"/>
                <w:lang w:val="ru-RU"/>
              </w:rPr>
              <w:t>10</w:t>
            </w:r>
            <w:r>
              <w:rPr>
                <w:color w:val="000000"/>
                <w:sz w:val="20"/>
                <w:szCs w:val="20"/>
              </w:rPr>
              <w:t>0,0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22" w:type="dxa"/>
            <w:vMerge w:val="continue"/>
          </w:tcPr>
          <w:p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597" w:type="dxa"/>
            <w:vMerge w:val="continue"/>
          </w:tcPr>
          <w:p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740" w:type="dxa"/>
            <w:vMerge w:val="continue"/>
          </w:tcPr>
          <w:p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770" w:type="dxa"/>
          </w:tcPr>
          <w:p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Бюджет АМО</w:t>
            </w:r>
          </w:p>
        </w:tc>
        <w:tc>
          <w:tcPr>
            <w:tcW w:w="450" w:type="dxa"/>
          </w:tcPr>
          <w:p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391" w:type="dxa"/>
          </w:tcPr>
          <w:p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</w:tcPr>
          <w:p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426" w:type="dxa"/>
          </w:tcPr>
          <w:p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628" w:type="dxa"/>
          </w:tcPr>
          <w:p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118,462</w:t>
            </w:r>
          </w:p>
        </w:tc>
        <w:tc>
          <w:tcPr>
            <w:tcW w:w="670" w:type="dxa"/>
          </w:tcPr>
          <w:p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90,0</w:t>
            </w:r>
          </w:p>
        </w:tc>
        <w:tc>
          <w:tcPr>
            <w:tcW w:w="670" w:type="dxa"/>
          </w:tcPr>
          <w:p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90,0</w:t>
            </w:r>
          </w:p>
        </w:tc>
        <w:tc>
          <w:tcPr>
            <w:tcW w:w="680" w:type="dxa"/>
          </w:tcPr>
          <w:p>
            <w:pPr>
              <w:rPr>
                <w:sz w:val="20"/>
                <w:szCs w:val="20"/>
              </w:rPr>
            </w:pPr>
            <w:r>
              <w:rPr>
                <w:rFonts w:hint="default"/>
                <w:color w:val="000000"/>
                <w:sz w:val="20"/>
                <w:szCs w:val="20"/>
                <w:lang w:val="ru-RU"/>
              </w:rPr>
              <w:t>170</w:t>
            </w:r>
            <w:r>
              <w:rPr>
                <w:color w:val="000000"/>
                <w:sz w:val="20"/>
                <w:szCs w:val="20"/>
              </w:rPr>
              <w:t>,0</w:t>
            </w:r>
          </w:p>
        </w:tc>
        <w:tc>
          <w:tcPr>
            <w:tcW w:w="720" w:type="dxa"/>
          </w:tcPr>
          <w:p>
            <w:pPr>
              <w:rPr>
                <w:sz w:val="20"/>
                <w:szCs w:val="20"/>
              </w:rPr>
            </w:pPr>
            <w:r>
              <w:rPr>
                <w:rFonts w:hint="default"/>
                <w:color w:val="000000"/>
                <w:sz w:val="20"/>
                <w:szCs w:val="20"/>
                <w:lang w:val="ru-RU"/>
              </w:rPr>
              <w:t>10</w:t>
            </w: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670" w:type="dxa"/>
            <w:vAlign w:val="top"/>
          </w:tcPr>
          <w:p>
            <w:pPr>
              <w:rPr>
                <w:rFonts w:hint="default" w:ascii="Times New Roman" w:hAnsi="Times New Roman" w:eastAsia="Times New Roman" w:cs="Times New Roman"/>
                <w:sz w:val="20"/>
                <w:szCs w:val="20"/>
                <w:lang w:val="ru-RU" w:eastAsia="ru-RU" w:bidi="ar-SA"/>
              </w:rPr>
            </w:pPr>
            <w:r>
              <w:rPr>
                <w:rFonts w:hint="default"/>
                <w:color w:val="000000"/>
                <w:sz w:val="20"/>
                <w:szCs w:val="20"/>
                <w:lang w:val="ru-RU"/>
              </w:rPr>
              <w:t>10</w:t>
            </w: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598" w:type="dxa"/>
            <w:vAlign w:val="top"/>
          </w:tcPr>
          <w:p>
            <w:pPr>
              <w:rPr>
                <w:rFonts w:hint="default"/>
                <w:color w:val="000000"/>
                <w:sz w:val="20"/>
                <w:szCs w:val="20"/>
                <w:lang w:val="ru-RU"/>
              </w:rPr>
            </w:pPr>
            <w:r>
              <w:rPr>
                <w:rFonts w:hint="default"/>
                <w:color w:val="000000"/>
                <w:sz w:val="20"/>
                <w:szCs w:val="20"/>
                <w:lang w:val="ru-RU"/>
              </w:rPr>
              <w:t>10</w:t>
            </w:r>
            <w:r>
              <w:rPr>
                <w:color w:val="000000"/>
                <w:sz w:val="20"/>
                <w:szCs w:val="20"/>
              </w:rPr>
              <w:t>0,0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22" w:type="dxa"/>
            <w:vMerge w:val="restart"/>
          </w:tcPr>
          <w:p>
            <w:pPr>
              <w:jc w:val="both"/>
              <w:rPr>
                <w:rFonts w:hint="default"/>
                <w:color w:val="000000"/>
                <w:sz w:val="20"/>
                <w:szCs w:val="20"/>
                <w:lang w:val="ru-RU"/>
              </w:rPr>
            </w:pPr>
            <w:r>
              <w:rPr>
                <w:rFonts w:hint="default"/>
                <w:color w:val="000000"/>
                <w:sz w:val="20"/>
                <w:szCs w:val="20"/>
                <w:lang w:val="ru-RU"/>
              </w:rPr>
              <w:t>1.2.1</w:t>
            </w:r>
          </w:p>
        </w:tc>
        <w:tc>
          <w:tcPr>
            <w:tcW w:w="1597" w:type="dxa"/>
            <w:vMerge w:val="restart"/>
          </w:tcPr>
          <w:p>
            <w:pPr>
              <w:widowControl w:val="0"/>
              <w:jc w:val="both"/>
              <w:rPr>
                <w:rFonts w:hint="default"/>
                <w:b/>
                <w:bCs/>
                <w:sz w:val="20"/>
                <w:szCs w:val="20"/>
                <w:lang w:val="ru-RU"/>
              </w:rPr>
            </w:pPr>
            <w:r>
              <w:rPr>
                <w:b/>
                <w:bCs/>
                <w:sz w:val="20"/>
                <w:szCs w:val="20"/>
              </w:rPr>
              <w:t>Основное мероприятие</w:t>
            </w:r>
            <w:r>
              <w:rPr>
                <w:rFonts w:hint="default"/>
                <w:b/>
                <w:bCs/>
                <w:sz w:val="20"/>
                <w:szCs w:val="20"/>
                <w:lang w:val="ru-RU"/>
              </w:rPr>
              <w:t xml:space="preserve"> 1.1:</w:t>
            </w:r>
          </w:p>
          <w:p>
            <w:pPr>
              <w:widowControl w:val="0"/>
              <w:jc w:val="both"/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Организационно-методические меры совершенствования системы патриотического воспитания граждан</w:t>
            </w:r>
          </w:p>
        </w:tc>
        <w:tc>
          <w:tcPr>
            <w:tcW w:w="740" w:type="dxa"/>
            <w:vMerge w:val="restart"/>
          </w:tcPr>
          <w:p>
            <w:pPr>
              <w:pStyle w:val="9"/>
              <w:widowControl/>
              <w:jc w:val="both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Отдел соцразвития</w:t>
            </w:r>
          </w:p>
          <w:p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КУ МОУО, учреждения культуры и образовательные учреждения</w:t>
            </w:r>
          </w:p>
        </w:tc>
        <w:tc>
          <w:tcPr>
            <w:tcW w:w="770" w:type="dxa"/>
          </w:tcPr>
          <w:p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450" w:type="dxa"/>
          </w:tcPr>
          <w:p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391" w:type="dxa"/>
          </w:tcPr>
          <w:p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</w:tcPr>
          <w:p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426" w:type="dxa"/>
          </w:tcPr>
          <w:p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628" w:type="dxa"/>
          </w:tcPr>
          <w:p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5,0</w:t>
            </w:r>
          </w:p>
        </w:tc>
        <w:tc>
          <w:tcPr>
            <w:tcW w:w="670" w:type="dxa"/>
          </w:tcPr>
          <w:p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5,0</w:t>
            </w:r>
          </w:p>
        </w:tc>
        <w:tc>
          <w:tcPr>
            <w:tcW w:w="670" w:type="dxa"/>
          </w:tcPr>
          <w:p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5,0</w:t>
            </w:r>
          </w:p>
        </w:tc>
        <w:tc>
          <w:tcPr>
            <w:tcW w:w="680" w:type="dxa"/>
          </w:tcPr>
          <w:p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5,0</w:t>
            </w:r>
          </w:p>
        </w:tc>
        <w:tc>
          <w:tcPr>
            <w:tcW w:w="720" w:type="dxa"/>
          </w:tcPr>
          <w:p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5,0</w:t>
            </w:r>
          </w:p>
        </w:tc>
        <w:tc>
          <w:tcPr>
            <w:tcW w:w="670" w:type="dxa"/>
            <w:vAlign w:val="top"/>
          </w:tcPr>
          <w:p>
            <w:pPr>
              <w:rPr>
                <w:rFonts w:ascii="Times New Roman" w:hAnsi="Times New Roman" w:eastAsia="Times New Roman" w:cs="Times New Roman"/>
                <w:sz w:val="20"/>
                <w:szCs w:val="20"/>
                <w:lang w:val="ru-RU" w:eastAsia="ru-RU" w:bidi="ar-SA"/>
              </w:rPr>
            </w:pPr>
            <w:r>
              <w:rPr>
                <w:color w:val="000000"/>
                <w:sz w:val="20"/>
                <w:szCs w:val="20"/>
              </w:rPr>
              <w:t>5,0</w:t>
            </w:r>
          </w:p>
        </w:tc>
        <w:tc>
          <w:tcPr>
            <w:tcW w:w="598" w:type="dxa"/>
            <w:vAlign w:val="top"/>
          </w:tcPr>
          <w:p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5,0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22" w:type="dxa"/>
            <w:vMerge w:val="continue"/>
          </w:tcPr>
          <w:p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597" w:type="dxa"/>
            <w:vMerge w:val="continue"/>
          </w:tcPr>
          <w:p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740" w:type="dxa"/>
            <w:vMerge w:val="continue"/>
          </w:tcPr>
          <w:p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770" w:type="dxa"/>
          </w:tcPr>
          <w:p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Бюджет АМО</w:t>
            </w:r>
          </w:p>
        </w:tc>
        <w:tc>
          <w:tcPr>
            <w:tcW w:w="450" w:type="dxa"/>
          </w:tcPr>
          <w:p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391" w:type="dxa"/>
          </w:tcPr>
          <w:p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</w:tcPr>
          <w:p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426" w:type="dxa"/>
          </w:tcPr>
          <w:p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628" w:type="dxa"/>
          </w:tcPr>
          <w:p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5,0</w:t>
            </w:r>
          </w:p>
        </w:tc>
        <w:tc>
          <w:tcPr>
            <w:tcW w:w="670" w:type="dxa"/>
          </w:tcPr>
          <w:p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5,0</w:t>
            </w:r>
          </w:p>
        </w:tc>
        <w:tc>
          <w:tcPr>
            <w:tcW w:w="670" w:type="dxa"/>
          </w:tcPr>
          <w:p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5,0</w:t>
            </w:r>
          </w:p>
        </w:tc>
        <w:tc>
          <w:tcPr>
            <w:tcW w:w="680" w:type="dxa"/>
          </w:tcPr>
          <w:p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5,0</w:t>
            </w:r>
          </w:p>
        </w:tc>
        <w:tc>
          <w:tcPr>
            <w:tcW w:w="720" w:type="dxa"/>
          </w:tcPr>
          <w:p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5,0</w:t>
            </w:r>
          </w:p>
        </w:tc>
        <w:tc>
          <w:tcPr>
            <w:tcW w:w="670" w:type="dxa"/>
            <w:vAlign w:val="top"/>
          </w:tcPr>
          <w:p>
            <w:pPr>
              <w:rPr>
                <w:rFonts w:ascii="Times New Roman" w:hAnsi="Times New Roman" w:eastAsia="Times New Roman" w:cs="Times New Roman"/>
                <w:sz w:val="20"/>
                <w:szCs w:val="20"/>
                <w:lang w:val="ru-RU" w:eastAsia="ru-RU" w:bidi="ar-SA"/>
              </w:rPr>
            </w:pPr>
            <w:r>
              <w:rPr>
                <w:color w:val="000000"/>
                <w:sz w:val="20"/>
                <w:szCs w:val="20"/>
              </w:rPr>
              <w:t>5,0</w:t>
            </w:r>
          </w:p>
        </w:tc>
        <w:tc>
          <w:tcPr>
            <w:tcW w:w="598" w:type="dxa"/>
            <w:vAlign w:val="top"/>
          </w:tcPr>
          <w:p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5,0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22" w:type="dxa"/>
            <w:vMerge w:val="restart"/>
          </w:tcPr>
          <w:p>
            <w:pPr>
              <w:jc w:val="both"/>
              <w:rPr>
                <w:rFonts w:hint="default"/>
                <w:color w:val="000000"/>
                <w:sz w:val="20"/>
                <w:szCs w:val="20"/>
                <w:lang w:val="ru-RU"/>
              </w:rPr>
            </w:pPr>
            <w:r>
              <w:rPr>
                <w:rFonts w:hint="default"/>
                <w:color w:val="000000"/>
                <w:sz w:val="20"/>
                <w:szCs w:val="20"/>
                <w:lang w:val="ru-RU"/>
              </w:rPr>
              <w:t>1.2.2</w:t>
            </w:r>
          </w:p>
        </w:tc>
        <w:tc>
          <w:tcPr>
            <w:tcW w:w="1597" w:type="dxa"/>
            <w:vMerge w:val="restart"/>
          </w:tcPr>
          <w:p>
            <w:pPr>
              <w:widowControl w:val="0"/>
              <w:jc w:val="both"/>
              <w:rPr>
                <w:rFonts w:hint="default"/>
                <w:b/>
                <w:bCs/>
                <w:sz w:val="20"/>
                <w:szCs w:val="20"/>
                <w:lang w:val="ru-RU"/>
              </w:rPr>
            </w:pPr>
            <w:r>
              <w:rPr>
                <w:b/>
                <w:bCs/>
                <w:sz w:val="20"/>
                <w:szCs w:val="20"/>
              </w:rPr>
              <w:t>Основное мероприятие</w:t>
            </w:r>
            <w:r>
              <w:rPr>
                <w:rFonts w:hint="default"/>
                <w:b/>
                <w:bCs/>
                <w:sz w:val="20"/>
                <w:szCs w:val="20"/>
                <w:lang w:val="ru-RU"/>
              </w:rPr>
              <w:t xml:space="preserve"> 1.2:</w:t>
            </w:r>
          </w:p>
          <w:p>
            <w:pPr>
              <w:widowControl w:val="0"/>
              <w:jc w:val="both"/>
              <w:rPr>
                <w:sz w:val="20"/>
                <w:szCs w:val="20"/>
              </w:rPr>
            </w:pPr>
            <w:r>
              <w:rPr>
                <w:rStyle w:val="4"/>
                <w:b w:val="0"/>
                <w:bCs w:val="0"/>
                <w:sz w:val="20"/>
                <w:szCs w:val="20"/>
              </w:rPr>
              <w:t>Совершенствование информационного обеспечения патриотического воспитания граждан</w:t>
            </w:r>
          </w:p>
        </w:tc>
        <w:tc>
          <w:tcPr>
            <w:tcW w:w="740" w:type="dxa"/>
            <w:vMerge w:val="restart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Отдел соцразвитияКУ МОУО</w:t>
            </w:r>
          </w:p>
          <w:p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ОУ, учреждения культуры, </w:t>
            </w:r>
          </w:p>
        </w:tc>
        <w:tc>
          <w:tcPr>
            <w:tcW w:w="770" w:type="dxa"/>
          </w:tcPr>
          <w:p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450" w:type="dxa"/>
          </w:tcPr>
          <w:p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391" w:type="dxa"/>
          </w:tcPr>
          <w:p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</w:tcPr>
          <w:p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426" w:type="dxa"/>
          </w:tcPr>
          <w:p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628" w:type="dxa"/>
          </w:tcPr>
          <w:p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31,3</w:t>
            </w:r>
          </w:p>
        </w:tc>
        <w:tc>
          <w:tcPr>
            <w:tcW w:w="670" w:type="dxa"/>
          </w:tcPr>
          <w:p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5,0</w:t>
            </w:r>
          </w:p>
        </w:tc>
        <w:tc>
          <w:tcPr>
            <w:tcW w:w="670" w:type="dxa"/>
          </w:tcPr>
          <w:p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5,0</w:t>
            </w:r>
          </w:p>
        </w:tc>
        <w:tc>
          <w:tcPr>
            <w:tcW w:w="680" w:type="dxa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sz w:val="20"/>
                <w:szCs w:val="20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85,0</w:t>
            </w:r>
          </w:p>
        </w:tc>
        <w:tc>
          <w:tcPr>
            <w:tcW w:w="720" w:type="dxa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sz w:val="20"/>
                <w:szCs w:val="20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15,0</w:t>
            </w:r>
          </w:p>
        </w:tc>
        <w:tc>
          <w:tcPr>
            <w:tcW w:w="670" w:type="dxa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15,0</w:t>
            </w:r>
          </w:p>
        </w:tc>
        <w:tc>
          <w:tcPr>
            <w:tcW w:w="598" w:type="dxa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15,0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22" w:type="dxa"/>
            <w:vMerge w:val="continue"/>
          </w:tcPr>
          <w:p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597" w:type="dxa"/>
            <w:vMerge w:val="continue"/>
          </w:tcPr>
          <w:p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740" w:type="dxa"/>
            <w:vMerge w:val="continue"/>
          </w:tcPr>
          <w:p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770" w:type="dxa"/>
          </w:tcPr>
          <w:p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Бюджет АМО</w:t>
            </w:r>
          </w:p>
        </w:tc>
        <w:tc>
          <w:tcPr>
            <w:tcW w:w="450" w:type="dxa"/>
          </w:tcPr>
          <w:p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391" w:type="dxa"/>
          </w:tcPr>
          <w:p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</w:tcPr>
          <w:p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426" w:type="dxa"/>
          </w:tcPr>
          <w:p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628" w:type="dxa"/>
          </w:tcPr>
          <w:p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31,3</w:t>
            </w:r>
          </w:p>
        </w:tc>
        <w:tc>
          <w:tcPr>
            <w:tcW w:w="670" w:type="dxa"/>
          </w:tcPr>
          <w:p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5,0</w:t>
            </w:r>
          </w:p>
        </w:tc>
        <w:tc>
          <w:tcPr>
            <w:tcW w:w="670" w:type="dxa"/>
          </w:tcPr>
          <w:p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5,0</w:t>
            </w:r>
          </w:p>
        </w:tc>
        <w:tc>
          <w:tcPr>
            <w:tcW w:w="680" w:type="dxa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Times New Roman" w:hAnsi="Times New Roman" w:eastAsia="Times New Roman" w:cs="Times New Roman"/>
                <w:sz w:val="20"/>
                <w:szCs w:val="20"/>
                <w:lang w:val="ru-RU" w:eastAsia="ru-RU" w:bidi="ar-SA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85,0</w:t>
            </w:r>
          </w:p>
        </w:tc>
        <w:tc>
          <w:tcPr>
            <w:tcW w:w="720" w:type="dxa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Times New Roman" w:hAnsi="Times New Roman" w:eastAsia="Times New Roman" w:cs="Times New Roman"/>
                <w:sz w:val="20"/>
                <w:szCs w:val="20"/>
                <w:lang w:val="ru-RU" w:eastAsia="ru-RU" w:bidi="ar-SA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15,0</w:t>
            </w:r>
          </w:p>
        </w:tc>
        <w:tc>
          <w:tcPr>
            <w:tcW w:w="670" w:type="dxa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15,0</w:t>
            </w:r>
          </w:p>
        </w:tc>
        <w:tc>
          <w:tcPr>
            <w:tcW w:w="598" w:type="dxa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15,0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22" w:type="dxa"/>
            <w:vMerge w:val="restart"/>
          </w:tcPr>
          <w:p>
            <w:pPr>
              <w:jc w:val="both"/>
              <w:rPr>
                <w:rFonts w:hint="default"/>
                <w:color w:val="000000"/>
                <w:sz w:val="20"/>
                <w:szCs w:val="20"/>
                <w:lang w:val="ru-RU"/>
              </w:rPr>
            </w:pPr>
            <w:r>
              <w:rPr>
                <w:rFonts w:hint="default"/>
                <w:color w:val="000000"/>
                <w:sz w:val="20"/>
                <w:szCs w:val="20"/>
                <w:lang w:val="ru-RU"/>
              </w:rPr>
              <w:t>1.2.4.</w:t>
            </w:r>
          </w:p>
        </w:tc>
        <w:tc>
          <w:tcPr>
            <w:tcW w:w="1597" w:type="dxa"/>
            <w:vMerge w:val="restart"/>
          </w:tcPr>
          <w:p>
            <w:pPr>
              <w:jc w:val="both"/>
              <w:rPr>
                <w:rFonts w:hint="default"/>
                <w:b/>
                <w:sz w:val="20"/>
                <w:szCs w:val="20"/>
                <w:lang w:val="ru-RU"/>
              </w:rPr>
            </w:pPr>
            <w:r>
              <w:rPr>
                <w:b/>
                <w:color w:val="000000"/>
                <w:sz w:val="20"/>
                <w:szCs w:val="20"/>
              </w:rPr>
              <w:t>Основное мероприятие</w:t>
            </w:r>
            <w:r>
              <w:rPr>
                <w:rFonts w:hint="default"/>
                <w:b/>
                <w:color w:val="000000"/>
                <w:sz w:val="20"/>
                <w:szCs w:val="20"/>
                <w:lang w:val="ru-RU"/>
              </w:rPr>
              <w:t xml:space="preserve"> 1.3:</w:t>
            </w:r>
          </w:p>
          <w:p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Организация патриотического воспитания граждан в ходе подготовки и проведения мероприятий, посвященных юбилейным и другим памятным событиям истории России</w:t>
            </w:r>
          </w:p>
        </w:tc>
        <w:tc>
          <w:tcPr>
            <w:tcW w:w="740" w:type="dxa"/>
            <w:vMerge w:val="restart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Отдел соцразвития ГО и ЧС, ХОЗУ,  КУ МОУО</w:t>
            </w:r>
          </w:p>
          <w:p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ОУ, учреждения культуры </w:t>
            </w:r>
          </w:p>
        </w:tc>
        <w:tc>
          <w:tcPr>
            <w:tcW w:w="770" w:type="dxa"/>
          </w:tcPr>
          <w:p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450" w:type="dxa"/>
          </w:tcPr>
          <w:p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391" w:type="dxa"/>
          </w:tcPr>
          <w:p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</w:tcPr>
          <w:p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426" w:type="dxa"/>
          </w:tcPr>
          <w:p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628" w:type="dxa"/>
          </w:tcPr>
          <w:p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82,162</w:t>
            </w:r>
          </w:p>
        </w:tc>
        <w:tc>
          <w:tcPr>
            <w:tcW w:w="670" w:type="dxa"/>
          </w:tcPr>
          <w:p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80,0</w:t>
            </w:r>
          </w:p>
        </w:tc>
        <w:tc>
          <w:tcPr>
            <w:tcW w:w="670" w:type="dxa"/>
          </w:tcPr>
          <w:p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80,0</w:t>
            </w:r>
          </w:p>
        </w:tc>
        <w:tc>
          <w:tcPr>
            <w:tcW w:w="680" w:type="dxa"/>
          </w:tcPr>
          <w:p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80,0</w:t>
            </w:r>
          </w:p>
        </w:tc>
        <w:tc>
          <w:tcPr>
            <w:tcW w:w="720" w:type="dxa"/>
          </w:tcPr>
          <w:p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80,0</w:t>
            </w:r>
          </w:p>
        </w:tc>
        <w:tc>
          <w:tcPr>
            <w:tcW w:w="670" w:type="dxa"/>
            <w:vAlign w:val="top"/>
          </w:tcPr>
          <w:p>
            <w:pPr>
              <w:rPr>
                <w:rFonts w:ascii="Times New Roman" w:hAnsi="Times New Roman" w:eastAsia="Times New Roman" w:cs="Times New Roman"/>
                <w:sz w:val="20"/>
                <w:szCs w:val="20"/>
                <w:lang w:val="ru-RU" w:eastAsia="ru-RU" w:bidi="ar-SA"/>
              </w:rPr>
            </w:pPr>
            <w:r>
              <w:rPr>
                <w:color w:val="000000"/>
                <w:sz w:val="20"/>
                <w:szCs w:val="20"/>
              </w:rPr>
              <w:t>80,0</w:t>
            </w:r>
          </w:p>
        </w:tc>
        <w:tc>
          <w:tcPr>
            <w:tcW w:w="598" w:type="dxa"/>
            <w:vAlign w:val="top"/>
          </w:tcPr>
          <w:p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80,0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22" w:type="dxa"/>
            <w:vMerge w:val="continue"/>
          </w:tcPr>
          <w:p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597" w:type="dxa"/>
            <w:vMerge w:val="continue"/>
          </w:tcPr>
          <w:p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740" w:type="dxa"/>
            <w:vMerge w:val="continue"/>
          </w:tcPr>
          <w:p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770" w:type="dxa"/>
          </w:tcPr>
          <w:p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Бюджет АМО</w:t>
            </w:r>
          </w:p>
        </w:tc>
        <w:tc>
          <w:tcPr>
            <w:tcW w:w="450" w:type="dxa"/>
          </w:tcPr>
          <w:p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391" w:type="dxa"/>
          </w:tcPr>
          <w:p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</w:tcPr>
          <w:p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426" w:type="dxa"/>
          </w:tcPr>
          <w:p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628" w:type="dxa"/>
          </w:tcPr>
          <w:p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82,162</w:t>
            </w:r>
          </w:p>
        </w:tc>
        <w:tc>
          <w:tcPr>
            <w:tcW w:w="670" w:type="dxa"/>
          </w:tcPr>
          <w:p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80,0</w:t>
            </w:r>
          </w:p>
        </w:tc>
        <w:tc>
          <w:tcPr>
            <w:tcW w:w="670" w:type="dxa"/>
          </w:tcPr>
          <w:p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80,0</w:t>
            </w:r>
          </w:p>
        </w:tc>
        <w:tc>
          <w:tcPr>
            <w:tcW w:w="680" w:type="dxa"/>
          </w:tcPr>
          <w:p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80,0</w:t>
            </w:r>
          </w:p>
        </w:tc>
        <w:tc>
          <w:tcPr>
            <w:tcW w:w="720" w:type="dxa"/>
          </w:tcPr>
          <w:p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80,0</w:t>
            </w:r>
          </w:p>
        </w:tc>
        <w:tc>
          <w:tcPr>
            <w:tcW w:w="670" w:type="dxa"/>
            <w:vAlign w:val="top"/>
          </w:tcPr>
          <w:p>
            <w:pPr>
              <w:rPr>
                <w:rFonts w:ascii="Times New Roman" w:hAnsi="Times New Roman" w:eastAsia="Times New Roman" w:cs="Times New Roman"/>
                <w:sz w:val="20"/>
                <w:szCs w:val="20"/>
                <w:lang w:val="ru-RU" w:eastAsia="ru-RU" w:bidi="ar-SA"/>
              </w:rPr>
            </w:pPr>
            <w:r>
              <w:rPr>
                <w:color w:val="000000"/>
                <w:sz w:val="20"/>
                <w:szCs w:val="20"/>
              </w:rPr>
              <w:t>80,0</w:t>
            </w:r>
          </w:p>
        </w:tc>
        <w:tc>
          <w:tcPr>
            <w:tcW w:w="598" w:type="dxa"/>
            <w:vAlign w:val="top"/>
          </w:tcPr>
          <w:p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80,0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22" w:type="dxa"/>
            <w:vMerge w:val="restart"/>
          </w:tcPr>
          <w:p>
            <w:pPr>
              <w:jc w:val="both"/>
              <w:rPr>
                <w:rFonts w:hint="default"/>
                <w:color w:val="000000"/>
                <w:sz w:val="20"/>
                <w:szCs w:val="20"/>
                <w:lang w:val="ru-RU"/>
              </w:rPr>
            </w:pPr>
            <w:r>
              <w:rPr>
                <w:rFonts w:hint="default"/>
                <w:color w:val="000000"/>
                <w:sz w:val="20"/>
                <w:szCs w:val="20"/>
                <w:lang w:val="ru-RU"/>
              </w:rPr>
              <w:t>1.3.</w:t>
            </w:r>
          </w:p>
        </w:tc>
        <w:tc>
          <w:tcPr>
            <w:tcW w:w="1597" w:type="dxa"/>
            <w:vMerge w:val="restart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eastAsia="Times New Roman" w:cs="Times New Roman"/>
                <w:i w:val="0"/>
                <w:iCs w:val="0"/>
                <w:color w:val="000000"/>
                <w:sz w:val="20"/>
                <w:szCs w:val="20"/>
                <w:u w:val="none"/>
                <w:lang w:val="ru-RU" w:eastAsia="ru-RU" w:bidi="ar-SA"/>
              </w:rPr>
            </w:pPr>
            <w:r>
              <w:rPr>
                <w:rFonts w:hint="default" w:ascii="Times New Roman" w:hAnsi="Times New Roman" w:eastAsia="SimSun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Подпрограмма </w:t>
            </w:r>
            <w:r>
              <w:rPr>
                <w:rFonts w:hint="default" w:eastAsia="SimSun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ru-RU" w:eastAsia="zh-CN" w:bidi="ar"/>
              </w:rPr>
              <w:t xml:space="preserve">№2 </w:t>
            </w:r>
            <w:r>
              <w:rPr>
                <w:rFonts w:hint="default" w:ascii="Times New Roman" w:hAnsi="Times New Roman" w:eastAsia="SimSun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Молодежь Анучинского </w:t>
            </w:r>
            <w:r>
              <w:rPr>
                <w:rFonts w:hint="default" w:eastAsia="SimSun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ru-RU" w:eastAsia="zh-CN" w:bidi="ar"/>
              </w:rPr>
              <w:t>муниципального округа</w:t>
            </w:r>
          </w:p>
        </w:tc>
        <w:tc>
          <w:tcPr>
            <w:tcW w:w="740" w:type="dxa"/>
            <w:vMerge w:val="restart"/>
          </w:tcPr>
          <w:p>
            <w:pPr>
              <w:rPr>
                <w:rFonts w:hint="default"/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</w:rPr>
              <w:t>Отдел соцразвития</w:t>
            </w:r>
            <w:r>
              <w:rPr>
                <w:rFonts w:hint="default"/>
                <w:sz w:val="20"/>
                <w:szCs w:val="20"/>
                <w:lang w:val="ru-RU"/>
              </w:rPr>
              <w:t xml:space="preserve">, </w:t>
            </w:r>
            <w:r>
              <w:rPr>
                <w:sz w:val="20"/>
                <w:szCs w:val="20"/>
              </w:rPr>
              <w:t xml:space="preserve">  КУ МОУО</w:t>
            </w:r>
            <w:r>
              <w:rPr>
                <w:rFonts w:hint="default"/>
                <w:sz w:val="20"/>
                <w:szCs w:val="20"/>
                <w:lang w:val="ru-RU"/>
              </w:rPr>
              <w:t xml:space="preserve">, МОУ ДОД ДЮСШ, </w:t>
            </w:r>
          </w:p>
          <w:p>
            <w:pPr>
              <w:jc w:val="both"/>
              <w:rPr>
                <w:rFonts w:hint="default"/>
                <w:color w:val="000000"/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Образовател</w:t>
            </w:r>
            <w:r>
              <w:rPr>
                <w:rFonts w:hint="default"/>
                <w:sz w:val="20"/>
                <w:szCs w:val="20"/>
                <w:lang w:val="ru-RU"/>
              </w:rPr>
              <w:t xml:space="preserve"> ные и культурно-досуговые учреждения</w:t>
            </w:r>
          </w:p>
        </w:tc>
        <w:tc>
          <w:tcPr>
            <w:tcW w:w="770" w:type="dxa"/>
            <w:vAlign w:val="top"/>
          </w:tcPr>
          <w:p>
            <w:pPr>
              <w:jc w:val="both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val="ru-RU" w:eastAsia="ru-RU" w:bidi="ar-SA"/>
              </w:rPr>
            </w:pPr>
            <w:r>
              <w:rPr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450" w:type="dxa"/>
          </w:tcPr>
          <w:p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391" w:type="dxa"/>
          </w:tcPr>
          <w:p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</w:tcPr>
          <w:p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426" w:type="dxa"/>
          </w:tcPr>
          <w:p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628" w:type="dxa"/>
          </w:tcPr>
          <w:p>
            <w:pPr>
              <w:rPr>
                <w:rFonts w:hint="default"/>
                <w:color w:val="000000"/>
                <w:sz w:val="20"/>
                <w:szCs w:val="20"/>
                <w:lang w:val="ru-RU"/>
              </w:rPr>
            </w:pPr>
            <w:r>
              <w:rPr>
                <w:rFonts w:hint="default"/>
                <w:color w:val="000000"/>
                <w:sz w:val="20"/>
                <w:szCs w:val="20"/>
                <w:lang w:val="ru-RU"/>
              </w:rPr>
              <w:t>159,5</w:t>
            </w:r>
          </w:p>
        </w:tc>
        <w:tc>
          <w:tcPr>
            <w:tcW w:w="670" w:type="dxa"/>
          </w:tcPr>
          <w:p>
            <w:pPr>
              <w:rPr>
                <w:rFonts w:hint="default"/>
                <w:color w:val="000000"/>
                <w:sz w:val="20"/>
                <w:szCs w:val="20"/>
                <w:lang w:val="ru-RU"/>
              </w:rPr>
            </w:pPr>
            <w:r>
              <w:rPr>
                <w:rFonts w:hint="default"/>
                <w:color w:val="000000"/>
                <w:sz w:val="20"/>
                <w:szCs w:val="20"/>
                <w:lang w:val="ru-RU"/>
              </w:rPr>
              <w:t>111,0</w:t>
            </w:r>
          </w:p>
        </w:tc>
        <w:tc>
          <w:tcPr>
            <w:tcW w:w="670" w:type="dxa"/>
          </w:tcPr>
          <w:p>
            <w:pPr>
              <w:rPr>
                <w:rFonts w:hint="default"/>
                <w:color w:val="000000"/>
                <w:sz w:val="20"/>
                <w:szCs w:val="20"/>
                <w:lang w:val="ru-RU"/>
              </w:rPr>
            </w:pPr>
            <w:r>
              <w:rPr>
                <w:rFonts w:hint="default"/>
                <w:color w:val="000000"/>
                <w:sz w:val="20"/>
                <w:szCs w:val="20"/>
                <w:lang w:val="ru-RU"/>
              </w:rPr>
              <w:t>80,0</w:t>
            </w:r>
          </w:p>
        </w:tc>
        <w:tc>
          <w:tcPr>
            <w:tcW w:w="680" w:type="dxa"/>
            <w:vAlign w:val="top"/>
          </w:tcPr>
          <w:p>
            <w:pP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  <w:lang w:val="ru-RU" w:eastAsia="ru-RU" w:bidi="ar-SA"/>
              </w:rPr>
            </w:pPr>
            <w:r>
              <w:rPr>
                <w:rFonts w:hint="default"/>
                <w:color w:val="000000"/>
                <w:sz w:val="20"/>
                <w:szCs w:val="20"/>
                <w:lang w:val="ru-RU"/>
              </w:rPr>
              <w:t>460,0</w:t>
            </w:r>
          </w:p>
        </w:tc>
        <w:tc>
          <w:tcPr>
            <w:tcW w:w="720" w:type="dxa"/>
          </w:tcPr>
          <w:p>
            <w:pPr>
              <w:rPr>
                <w:rFonts w:hint="default"/>
                <w:color w:val="000000"/>
                <w:sz w:val="20"/>
                <w:szCs w:val="20"/>
                <w:lang w:val="ru-RU"/>
              </w:rPr>
            </w:pPr>
            <w:r>
              <w:rPr>
                <w:rFonts w:hint="default"/>
                <w:color w:val="000000"/>
                <w:sz w:val="20"/>
                <w:szCs w:val="20"/>
                <w:lang w:val="ru-RU"/>
              </w:rPr>
              <w:t>100,0</w:t>
            </w:r>
          </w:p>
        </w:tc>
        <w:tc>
          <w:tcPr>
            <w:tcW w:w="670" w:type="dxa"/>
            <w:vAlign w:val="top"/>
          </w:tcPr>
          <w:p>
            <w:pP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  <w:lang w:val="ru-RU" w:eastAsia="ru-RU" w:bidi="ar-SA"/>
              </w:rPr>
            </w:pPr>
            <w:r>
              <w:rPr>
                <w:rFonts w:hint="default"/>
                <w:color w:val="000000"/>
                <w:sz w:val="20"/>
                <w:szCs w:val="20"/>
                <w:lang w:val="ru-RU"/>
              </w:rPr>
              <w:t>60,0</w:t>
            </w:r>
          </w:p>
        </w:tc>
        <w:tc>
          <w:tcPr>
            <w:tcW w:w="598" w:type="dxa"/>
            <w:vAlign w:val="top"/>
          </w:tcPr>
          <w:p>
            <w:pPr>
              <w:rPr>
                <w:rFonts w:hint="default"/>
                <w:color w:val="000000"/>
                <w:sz w:val="20"/>
                <w:szCs w:val="20"/>
                <w:lang w:val="ru-RU"/>
              </w:rPr>
            </w:pPr>
            <w:r>
              <w:rPr>
                <w:rFonts w:hint="default"/>
                <w:color w:val="000000"/>
                <w:sz w:val="20"/>
                <w:szCs w:val="20"/>
                <w:lang w:val="ru-RU"/>
              </w:rPr>
              <w:t>60,0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22" w:type="dxa"/>
            <w:vMerge w:val="continue"/>
          </w:tcPr>
          <w:p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597" w:type="dxa"/>
            <w:vMerge w:val="continue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740" w:type="dxa"/>
            <w:vMerge w:val="continue"/>
          </w:tcPr>
          <w:p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770" w:type="dxa"/>
            <w:vAlign w:val="top"/>
          </w:tcPr>
          <w:p>
            <w:pPr>
              <w:jc w:val="both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val="ru-RU" w:eastAsia="ru-RU" w:bidi="ar-SA"/>
              </w:rPr>
            </w:pPr>
            <w:r>
              <w:rPr>
                <w:color w:val="000000"/>
                <w:sz w:val="20"/>
                <w:szCs w:val="20"/>
              </w:rPr>
              <w:t>Бюджет АМО</w:t>
            </w:r>
          </w:p>
        </w:tc>
        <w:tc>
          <w:tcPr>
            <w:tcW w:w="450" w:type="dxa"/>
          </w:tcPr>
          <w:p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391" w:type="dxa"/>
          </w:tcPr>
          <w:p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</w:tcPr>
          <w:p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426" w:type="dxa"/>
          </w:tcPr>
          <w:p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628" w:type="dxa"/>
          </w:tcPr>
          <w:p>
            <w:pPr>
              <w:rPr>
                <w:rFonts w:hint="default"/>
                <w:color w:val="000000"/>
                <w:sz w:val="20"/>
                <w:szCs w:val="20"/>
                <w:lang w:val="ru-RU"/>
              </w:rPr>
            </w:pPr>
            <w:r>
              <w:rPr>
                <w:rFonts w:hint="default"/>
                <w:color w:val="000000"/>
                <w:sz w:val="20"/>
                <w:szCs w:val="20"/>
                <w:lang w:val="ru-RU"/>
              </w:rPr>
              <w:t>159,5</w:t>
            </w:r>
          </w:p>
        </w:tc>
        <w:tc>
          <w:tcPr>
            <w:tcW w:w="670" w:type="dxa"/>
          </w:tcPr>
          <w:p>
            <w:pPr>
              <w:rPr>
                <w:rFonts w:hint="default"/>
                <w:color w:val="000000"/>
                <w:sz w:val="20"/>
                <w:szCs w:val="20"/>
                <w:lang w:val="ru-RU"/>
              </w:rPr>
            </w:pPr>
            <w:r>
              <w:rPr>
                <w:rFonts w:hint="default"/>
                <w:color w:val="000000"/>
                <w:sz w:val="20"/>
                <w:szCs w:val="20"/>
                <w:lang w:val="ru-RU"/>
              </w:rPr>
              <w:t>111,0</w:t>
            </w:r>
          </w:p>
        </w:tc>
        <w:tc>
          <w:tcPr>
            <w:tcW w:w="670" w:type="dxa"/>
          </w:tcPr>
          <w:p>
            <w:pPr>
              <w:rPr>
                <w:rFonts w:hint="default"/>
                <w:color w:val="000000"/>
                <w:sz w:val="20"/>
                <w:szCs w:val="20"/>
                <w:lang w:val="ru-RU"/>
              </w:rPr>
            </w:pPr>
            <w:r>
              <w:rPr>
                <w:rFonts w:hint="default"/>
                <w:color w:val="000000"/>
                <w:sz w:val="20"/>
                <w:szCs w:val="20"/>
                <w:lang w:val="ru-RU"/>
              </w:rPr>
              <w:t>80,0</w:t>
            </w:r>
          </w:p>
        </w:tc>
        <w:tc>
          <w:tcPr>
            <w:tcW w:w="680" w:type="dxa"/>
            <w:vAlign w:val="top"/>
          </w:tcPr>
          <w:p>
            <w:pP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  <w:lang w:val="ru-RU" w:eastAsia="ru-RU" w:bidi="ar-SA"/>
              </w:rPr>
            </w:pPr>
            <w:r>
              <w:rPr>
                <w:rFonts w:hint="default"/>
                <w:color w:val="000000"/>
                <w:sz w:val="20"/>
                <w:szCs w:val="20"/>
                <w:lang w:val="ru-RU"/>
              </w:rPr>
              <w:t>460,0</w:t>
            </w:r>
          </w:p>
        </w:tc>
        <w:tc>
          <w:tcPr>
            <w:tcW w:w="720" w:type="dxa"/>
          </w:tcPr>
          <w:p>
            <w:pPr>
              <w:rPr>
                <w:rFonts w:hint="default"/>
                <w:color w:val="000000"/>
                <w:sz w:val="20"/>
                <w:szCs w:val="20"/>
                <w:lang w:val="ru-RU"/>
              </w:rPr>
            </w:pPr>
            <w:r>
              <w:rPr>
                <w:rFonts w:hint="default"/>
                <w:color w:val="000000"/>
                <w:sz w:val="20"/>
                <w:szCs w:val="20"/>
                <w:lang w:val="ru-RU"/>
              </w:rPr>
              <w:t>100,0</w:t>
            </w:r>
          </w:p>
        </w:tc>
        <w:tc>
          <w:tcPr>
            <w:tcW w:w="670" w:type="dxa"/>
            <w:vAlign w:val="top"/>
          </w:tcPr>
          <w:p>
            <w:pP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  <w:lang w:val="ru-RU" w:eastAsia="ru-RU" w:bidi="ar-SA"/>
              </w:rPr>
            </w:pPr>
            <w:r>
              <w:rPr>
                <w:rFonts w:hint="default"/>
                <w:color w:val="000000"/>
                <w:sz w:val="20"/>
                <w:szCs w:val="20"/>
                <w:lang w:val="ru-RU"/>
              </w:rPr>
              <w:t>60,0</w:t>
            </w:r>
          </w:p>
        </w:tc>
        <w:tc>
          <w:tcPr>
            <w:tcW w:w="598" w:type="dxa"/>
            <w:vAlign w:val="top"/>
          </w:tcPr>
          <w:p>
            <w:pPr>
              <w:rPr>
                <w:rFonts w:hint="default"/>
                <w:color w:val="000000"/>
                <w:sz w:val="20"/>
                <w:szCs w:val="20"/>
                <w:lang w:val="ru-RU"/>
              </w:rPr>
            </w:pPr>
            <w:r>
              <w:rPr>
                <w:rFonts w:hint="default"/>
                <w:color w:val="000000"/>
                <w:sz w:val="20"/>
                <w:szCs w:val="20"/>
                <w:lang w:val="ru-RU"/>
              </w:rPr>
              <w:t>60,0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22" w:type="dxa"/>
            <w:vMerge w:val="restart"/>
          </w:tcPr>
          <w:p>
            <w:pPr>
              <w:jc w:val="both"/>
              <w:rPr>
                <w:rFonts w:hint="default"/>
                <w:color w:val="000000"/>
                <w:sz w:val="20"/>
                <w:szCs w:val="20"/>
                <w:lang w:val="ru-RU"/>
              </w:rPr>
            </w:pPr>
            <w:r>
              <w:rPr>
                <w:rFonts w:hint="default"/>
                <w:color w:val="000000"/>
                <w:sz w:val="20"/>
                <w:szCs w:val="20"/>
                <w:lang w:val="ru-RU"/>
              </w:rPr>
              <w:t>1.3.1.</w:t>
            </w:r>
          </w:p>
        </w:tc>
        <w:tc>
          <w:tcPr>
            <w:tcW w:w="1597" w:type="dxa"/>
            <w:vMerge w:val="restart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SimSun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ru-RU" w:eastAsia="zh-CN" w:bidi="ar"/>
              </w:rPr>
            </w:pPr>
            <w:r>
              <w:rPr>
                <w:rFonts w:hint="default" w:ascii="Times New Roman" w:hAnsi="Times New Roman" w:eastAsia="SimSun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Основное мероприятие</w:t>
            </w:r>
            <w:r>
              <w:rPr>
                <w:rFonts w:hint="default" w:eastAsia="SimSun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ru-RU" w:eastAsia="zh-CN" w:bidi="ar"/>
              </w:rPr>
              <w:t xml:space="preserve"> 2.1: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Times New Roman" w:cs="Times New Roman"/>
                <w:i w:val="0"/>
                <w:iCs w:val="0"/>
                <w:color w:val="000000"/>
                <w:sz w:val="20"/>
                <w:szCs w:val="20"/>
                <w:u w:val="none"/>
                <w:lang w:val="ru-RU" w:eastAsia="ru-RU" w:bidi="ar-SA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Популяризация здорового образа жизни, культуры безопасности жизнедеятельности</w:t>
            </w:r>
          </w:p>
        </w:tc>
        <w:tc>
          <w:tcPr>
            <w:tcW w:w="740" w:type="dxa"/>
            <w:vMerge w:val="restart"/>
          </w:tcPr>
          <w:p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770" w:type="dxa"/>
            <w:vAlign w:val="top"/>
          </w:tcPr>
          <w:p>
            <w:pPr>
              <w:jc w:val="both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val="ru-RU" w:eastAsia="ru-RU" w:bidi="ar-SA"/>
              </w:rPr>
            </w:pPr>
            <w:r>
              <w:rPr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450" w:type="dxa"/>
          </w:tcPr>
          <w:p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391" w:type="dxa"/>
          </w:tcPr>
          <w:p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</w:tcPr>
          <w:p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426" w:type="dxa"/>
          </w:tcPr>
          <w:p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628" w:type="dxa"/>
          </w:tcPr>
          <w:p>
            <w:pPr>
              <w:rPr>
                <w:rFonts w:hint="default"/>
                <w:color w:val="000000"/>
                <w:sz w:val="20"/>
                <w:szCs w:val="20"/>
                <w:lang w:val="ru-RU"/>
              </w:rPr>
            </w:pPr>
            <w:r>
              <w:rPr>
                <w:rFonts w:hint="default"/>
                <w:color w:val="000000"/>
                <w:sz w:val="20"/>
                <w:szCs w:val="20"/>
                <w:lang w:val="ru-RU"/>
              </w:rPr>
              <w:t>10,0</w:t>
            </w:r>
          </w:p>
        </w:tc>
        <w:tc>
          <w:tcPr>
            <w:tcW w:w="670" w:type="dxa"/>
          </w:tcPr>
          <w:p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670" w:type="dxa"/>
          </w:tcPr>
          <w:p>
            <w:pPr>
              <w:rPr>
                <w:rFonts w:hint="default"/>
                <w:color w:val="000000"/>
                <w:sz w:val="20"/>
                <w:szCs w:val="20"/>
                <w:lang w:val="ru-RU"/>
              </w:rPr>
            </w:pPr>
            <w:r>
              <w:rPr>
                <w:rFonts w:hint="default"/>
                <w:color w:val="000000"/>
                <w:sz w:val="20"/>
                <w:szCs w:val="20"/>
                <w:lang w:val="ru-RU"/>
              </w:rPr>
              <w:t>10,0</w:t>
            </w:r>
          </w:p>
        </w:tc>
        <w:tc>
          <w:tcPr>
            <w:tcW w:w="680" w:type="dxa"/>
          </w:tcPr>
          <w:p>
            <w:pPr>
              <w:rPr>
                <w:color w:val="000000"/>
                <w:sz w:val="20"/>
                <w:szCs w:val="20"/>
              </w:rPr>
            </w:pPr>
            <w:r>
              <w:rPr>
                <w:rFonts w:hint="default"/>
                <w:color w:val="000000"/>
                <w:sz w:val="20"/>
                <w:szCs w:val="20"/>
                <w:lang w:val="ru-RU"/>
              </w:rPr>
              <w:t>10,0</w:t>
            </w:r>
          </w:p>
        </w:tc>
        <w:tc>
          <w:tcPr>
            <w:tcW w:w="720" w:type="dxa"/>
          </w:tcPr>
          <w:p>
            <w:pPr>
              <w:rPr>
                <w:color w:val="000000"/>
                <w:sz w:val="20"/>
                <w:szCs w:val="20"/>
              </w:rPr>
            </w:pPr>
            <w:r>
              <w:rPr>
                <w:rFonts w:hint="default"/>
                <w:color w:val="000000"/>
                <w:sz w:val="20"/>
                <w:szCs w:val="20"/>
                <w:lang w:val="ru-RU"/>
              </w:rPr>
              <w:t>10,0</w:t>
            </w:r>
          </w:p>
        </w:tc>
        <w:tc>
          <w:tcPr>
            <w:tcW w:w="670" w:type="dxa"/>
            <w:vAlign w:val="top"/>
          </w:tcPr>
          <w:p>
            <w:pP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  <w:lang w:val="ru-RU" w:eastAsia="ru-RU" w:bidi="ar-SA"/>
              </w:rPr>
            </w:pPr>
            <w:r>
              <w:rPr>
                <w:rFonts w:hint="default"/>
                <w:color w:val="000000"/>
                <w:sz w:val="20"/>
                <w:szCs w:val="20"/>
                <w:lang w:val="ru-RU"/>
              </w:rPr>
              <w:t>10,0</w:t>
            </w:r>
          </w:p>
        </w:tc>
        <w:tc>
          <w:tcPr>
            <w:tcW w:w="598" w:type="dxa"/>
            <w:vAlign w:val="top"/>
          </w:tcPr>
          <w:p>
            <w:pPr>
              <w:rPr>
                <w:rFonts w:hint="default"/>
                <w:color w:val="000000"/>
                <w:sz w:val="20"/>
                <w:szCs w:val="20"/>
                <w:lang w:val="ru-RU"/>
              </w:rPr>
            </w:pPr>
            <w:r>
              <w:rPr>
                <w:rFonts w:hint="default"/>
                <w:color w:val="000000"/>
                <w:sz w:val="20"/>
                <w:szCs w:val="20"/>
                <w:lang w:val="ru-RU"/>
              </w:rPr>
              <w:t>10,0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8" w:hRule="atLeast"/>
        </w:trPr>
        <w:tc>
          <w:tcPr>
            <w:tcW w:w="622" w:type="dxa"/>
            <w:vMerge w:val="continue"/>
          </w:tcPr>
          <w:p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597" w:type="dxa"/>
            <w:vMerge w:val="continue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Times New Roman" w:cs="Times New Roman"/>
                <w:i w:val="0"/>
                <w:iCs w:val="0"/>
                <w:color w:val="000000"/>
                <w:sz w:val="20"/>
                <w:szCs w:val="20"/>
                <w:u w:val="none"/>
                <w:lang w:val="ru-RU" w:eastAsia="ru-RU" w:bidi="ar-SA"/>
              </w:rPr>
            </w:pPr>
          </w:p>
        </w:tc>
        <w:tc>
          <w:tcPr>
            <w:tcW w:w="740" w:type="dxa"/>
            <w:vMerge w:val="continue"/>
          </w:tcPr>
          <w:p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770" w:type="dxa"/>
            <w:vAlign w:val="top"/>
          </w:tcPr>
          <w:p>
            <w:pPr>
              <w:jc w:val="both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val="ru-RU" w:eastAsia="ru-RU" w:bidi="ar-SA"/>
              </w:rPr>
            </w:pPr>
            <w:r>
              <w:rPr>
                <w:color w:val="000000"/>
                <w:sz w:val="20"/>
                <w:szCs w:val="20"/>
              </w:rPr>
              <w:t>Бюджет АМО</w:t>
            </w:r>
          </w:p>
        </w:tc>
        <w:tc>
          <w:tcPr>
            <w:tcW w:w="450" w:type="dxa"/>
          </w:tcPr>
          <w:p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391" w:type="dxa"/>
          </w:tcPr>
          <w:p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</w:tcPr>
          <w:p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426" w:type="dxa"/>
          </w:tcPr>
          <w:p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628" w:type="dxa"/>
            <w:vAlign w:val="top"/>
          </w:tcPr>
          <w:p>
            <w:pP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  <w:lang w:val="ru-RU" w:eastAsia="ru-RU" w:bidi="ar-SA"/>
              </w:rPr>
            </w:pPr>
            <w:r>
              <w:rPr>
                <w:rFonts w:hint="default"/>
                <w:color w:val="000000"/>
                <w:sz w:val="20"/>
                <w:szCs w:val="20"/>
                <w:lang w:val="ru-RU"/>
              </w:rPr>
              <w:t>10,0</w:t>
            </w:r>
          </w:p>
        </w:tc>
        <w:tc>
          <w:tcPr>
            <w:tcW w:w="670" w:type="dxa"/>
            <w:vAlign w:val="top"/>
          </w:tcPr>
          <w:p>
            <w:pP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670" w:type="dxa"/>
            <w:vAlign w:val="top"/>
          </w:tcPr>
          <w:p>
            <w:pP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  <w:lang w:val="ru-RU" w:eastAsia="ru-RU" w:bidi="ar-SA"/>
              </w:rPr>
            </w:pPr>
            <w:r>
              <w:rPr>
                <w:rFonts w:hint="default"/>
                <w:color w:val="000000"/>
                <w:sz w:val="20"/>
                <w:szCs w:val="20"/>
                <w:lang w:val="ru-RU"/>
              </w:rPr>
              <w:t>10,0</w:t>
            </w:r>
          </w:p>
        </w:tc>
        <w:tc>
          <w:tcPr>
            <w:tcW w:w="680" w:type="dxa"/>
            <w:vAlign w:val="top"/>
          </w:tcPr>
          <w:p>
            <w:pP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val="ru-RU" w:eastAsia="ru-RU" w:bidi="ar-SA"/>
              </w:rPr>
            </w:pPr>
            <w:r>
              <w:rPr>
                <w:rFonts w:hint="default"/>
                <w:color w:val="000000"/>
                <w:sz w:val="20"/>
                <w:szCs w:val="20"/>
                <w:lang w:val="ru-RU"/>
              </w:rPr>
              <w:t>10,0</w:t>
            </w:r>
          </w:p>
        </w:tc>
        <w:tc>
          <w:tcPr>
            <w:tcW w:w="720" w:type="dxa"/>
            <w:vAlign w:val="top"/>
          </w:tcPr>
          <w:p>
            <w:pP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val="ru-RU" w:eastAsia="ru-RU" w:bidi="ar-SA"/>
              </w:rPr>
            </w:pPr>
            <w:r>
              <w:rPr>
                <w:rFonts w:hint="default"/>
                <w:color w:val="000000"/>
                <w:sz w:val="20"/>
                <w:szCs w:val="20"/>
                <w:lang w:val="ru-RU"/>
              </w:rPr>
              <w:t>10,0</w:t>
            </w:r>
          </w:p>
        </w:tc>
        <w:tc>
          <w:tcPr>
            <w:tcW w:w="670" w:type="dxa"/>
            <w:vAlign w:val="top"/>
          </w:tcPr>
          <w:p>
            <w:pP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  <w:lang w:val="ru-RU" w:eastAsia="ru-RU" w:bidi="ar-SA"/>
              </w:rPr>
            </w:pPr>
            <w:r>
              <w:rPr>
                <w:rFonts w:hint="default"/>
                <w:color w:val="000000"/>
                <w:sz w:val="20"/>
                <w:szCs w:val="20"/>
                <w:lang w:val="ru-RU"/>
              </w:rPr>
              <w:t>10,0</w:t>
            </w:r>
          </w:p>
        </w:tc>
        <w:tc>
          <w:tcPr>
            <w:tcW w:w="598" w:type="dxa"/>
            <w:vAlign w:val="top"/>
          </w:tcPr>
          <w:p>
            <w:pPr>
              <w:rPr>
                <w:rFonts w:hint="default"/>
                <w:color w:val="000000"/>
                <w:sz w:val="20"/>
                <w:szCs w:val="20"/>
                <w:lang w:val="ru-RU"/>
              </w:rPr>
            </w:pPr>
            <w:r>
              <w:rPr>
                <w:rFonts w:hint="default"/>
                <w:color w:val="000000"/>
                <w:sz w:val="20"/>
                <w:szCs w:val="20"/>
                <w:lang w:val="ru-RU"/>
              </w:rPr>
              <w:t>10,0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22" w:type="dxa"/>
            <w:vMerge w:val="restart"/>
          </w:tcPr>
          <w:p>
            <w:pPr>
              <w:jc w:val="both"/>
              <w:rPr>
                <w:rFonts w:hint="default"/>
                <w:color w:val="000000"/>
                <w:sz w:val="20"/>
                <w:szCs w:val="20"/>
                <w:lang w:val="ru-RU"/>
              </w:rPr>
            </w:pPr>
            <w:r>
              <w:rPr>
                <w:rFonts w:hint="default"/>
                <w:color w:val="000000"/>
                <w:sz w:val="20"/>
                <w:szCs w:val="20"/>
                <w:lang w:val="ru-RU"/>
              </w:rPr>
              <w:t>1.3.2.</w:t>
            </w:r>
          </w:p>
        </w:tc>
        <w:tc>
          <w:tcPr>
            <w:tcW w:w="1597" w:type="dxa"/>
            <w:vMerge w:val="restart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SimSun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ru-RU" w:eastAsia="zh-CN" w:bidi="ar"/>
              </w:rPr>
            </w:pPr>
            <w:r>
              <w:rPr>
                <w:rFonts w:hint="default" w:ascii="Times New Roman" w:hAnsi="Times New Roman" w:eastAsia="SimSun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Основное мероприятие</w:t>
            </w:r>
            <w:r>
              <w:rPr>
                <w:rFonts w:hint="default" w:eastAsia="SimSun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ru-RU" w:eastAsia="zh-CN" w:bidi="ar"/>
              </w:rPr>
              <w:t xml:space="preserve"> 2.3: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Times New Roman" w:cs="Times New Roman"/>
                <w:i w:val="0"/>
                <w:iCs w:val="0"/>
                <w:color w:val="000000"/>
                <w:sz w:val="20"/>
                <w:szCs w:val="20"/>
                <w:u w:val="none"/>
                <w:lang w:val="ru-RU" w:eastAsia="ru-RU" w:bidi="ar-SA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Совершенствование системы вовлечения молодежи в социальную практику и добровольчество, поддержка молодежных инициатив и талантливой молодежи, повыщение эффективности использования информационной инфраструктуры</w:t>
            </w:r>
          </w:p>
        </w:tc>
        <w:tc>
          <w:tcPr>
            <w:tcW w:w="740" w:type="dxa"/>
            <w:vMerge w:val="restart"/>
          </w:tcPr>
          <w:p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770" w:type="dxa"/>
            <w:vAlign w:val="top"/>
          </w:tcPr>
          <w:p>
            <w:pPr>
              <w:jc w:val="both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val="ru-RU" w:eastAsia="ru-RU" w:bidi="ar-SA"/>
              </w:rPr>
            </w:pPr>
            <w:r>
              <w:rPr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450" w:type="dxa"/>
          </w:tcPr>
          <w:p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391" w:type="dxa"/>
          </w:tcPr>
          <w:p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</w:tcPr>
          <w:p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426" w:type="dxa"/>
          </w:tcPr>
          <w:p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628" w:type="dxa"/>
          </w:tcPr>
          <w:p>
            <w:pPr>
              <w:rPr>
                <w:rFonts w:hint="default"/>
                <w:color w:val="000000"/>
                <w:sz w:val="20"/>
                <w:szCs w:val="20"/>
                <w:lang w:val="ru-RU"/>
              </w:rPr>
            </w:pPr>
            <w:r>
              <w:rPr>
                <w:rFonts w:hint="default"/>
                <w:color w:val="000000"/>
                <w:sz w:val="20"/>
                <w:szCs w:val="20"/>
                <w:lang w:val="ru-RU"/>
              </w:rPr>
              <w:t>149,5</w:t>
            </w:r>
          </w:p>
        </w:tc>
        <w:tc>
          <w:tcPr>
            <w:tcW w:w="670" w:type="dxa"/>
          </w:tcPr>
          <w:p>
            <w:pPr>
              <w:rPr>
                <w:rFonts w:hint="default"/>
                <w:color w:val="000000"/>
                <w:sz w:val="20"/>
                <w:szCs w:val="20"/>
                <w:lang w:val="ru-RU"/>
              </w:rPr>
            </w:pPr>
            <w:r>
              <w:rPr>
                <w:rFonts w:hint="default"/>
                <w:color w:val="000000"/>
                <w:sz w:val="20"/>
                <w:szCs w:val="20"/>
                <w:lang w:val="ru-RU"/>
              </w:rPr>
              <w:t>111,0</w:t>
            </w:r>
          </w:p>
        </w:tc>
        <w:tc>
          <w:tcPr>
            <w:tcW w:w="670" w:type="dxa"/>
          </w:tcPr>
          <w:p>
            <w:pPr>
              <w:rPr>
                <w:rFonts w:hint="default"/>
                <w:color w:val="000000"/>
                <w:sz w:val="20"/>
                <w:szCs w:val="20"/>
                <w:lang w:val="ru-RU"/>
              </w:rPr>
            </w:pPr>
            <w:r>
              <w:rPr>
                <w:rFonts w:hint="default"/>
                <w:color w:val="000000"/>
                <w:sz w:val="20"/>
                <w:szCs w:val="20"/>
                <w:lang w:val="ru-RU"/>
              </w:rPr>
              <w:t>70,0</w:t>
            </w:r>
          </w:p>
        </w:tc>
        <w:tc>
          <w:tcPr>
            <w:tcW w:w="680" w:type="dxa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Times New Roman" w:cs="Times New Roman"/>
                <w:i w:val="0"/>
                <w:iCs w:val="0"/>
                <w:color w:val="000000"/>
                <w:sz w:val="20"/>
                <w:szCs w:val="20"/>
                <w:u w:val="none"/>
                <w:lang w:val="ru-RU" w:eastAsia="ru-RU" w:bidi="ar-SA"/>
              </w:rPr>
            </w:pPr>
            <w:r>
              <w:rPr>
                <w:rFonts w:hint="default" w:eastAsia="SimSun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ru-RU" w:eastAsia="zh-CN" w:bidi="ar"/>
              </w:rPr>
              <w:t>4</w:t>
            </w: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50,0</w:t>
            </w:r>
          </w:p>
        </w:tc>
        <w:tc>
          <w:tcPr>
            <w:tcW w:w="720" w:type="dxa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Times New Roman" w:cs="Times New Roman"/>
                <w:i w:val="0"/>
                <w:iCs w:val="0"/>
                <w:color w:val="000000"/>
                <w:sz w:val="20"/>
                <w:szCs w:val="20"/>
                <w:u w:val="none"/>
                <w:lang w:val="ru-RU" w:eastAsia="ru-RU" w:bidi="ar-SA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90,0</w:t>
            </w:r>
          </w:p>
        </w:tc>
        <w:tc>
          <w:tcPr>
            <w:tcW w:w="670" w:type="dxa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Times New Roman" w:cs="Times New Roman"/>
                <w:i w:val="0"/>
                <w:iCs w:val="0"/>
                <w:color w:val="000000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50,0</w:t>
            </w:r>
          </w:p>
        </w:tc>
        <w:tc>
          <w:tcPr>
            <w:tcW w:w="598" w:type="dxa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50,0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22" w:type="dxa"/>
            <w:vMerge w:val="continue"/>
          </w:tcPr>
          <w:p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597" w:type="dxa"/>
            <w:vMerge w:val="continue"/>
          </w:tcPr>
          <w:p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740" w:type="dxa"/>
            <w:vMerge w:val="continue"/>
          </w:tcPr>
          <w:p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770" w:type="dxa"/>
            <w:vAlign w:val="top"/>
          </w:tcPr>
          <w:p>
            <w:pPr>
              <w:jc w:val="both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val="ru-RU" w:eastAsia="ru-RU" w:bidi="ar-SA"/>
              </w:rPr>
            </w:pPr>
            <w:r>
              <w:rPr>
                <w:color w:val="000000"/>
                <w:sz w:val="20"/>
                <w:szCs w:val="20"/>
              </w:rPr>
              <w:t>Бюджет АМО</w:t>
            </w:r>
          </w:p>
        </w:tc>
        <w:tc>
          <w:tcPr>
            <w:tcW w:w="450" w:type="dxa"/>
          </w:tcPr>
          <w:p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391" w:type="dxa"/>
          </w:tcPr>
          <w:p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</w:tcPr>
          <w:p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426" w:type="dxa"/>
          </w:tcPr>
          <w:p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628" w:type="dxa"/>
            <w:vAlign w:val="top"/>
          </w:tcPr>
          <w:p>
            <w:pP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  <w:lang w:val="ru-RU" w:eastAsia="ru-RU" w:bidi="ar-SA"/>
              </w:rPr>
            </w:pPr>
            <w:r>
              <w:rPr>
                <w:rFonts w:hint="default"/>
                <w:color w:val="000000"/>
                <w:sz w:val="20"/>
                <w:szCs w:val="20"/>
                <w:lang w:val="ru-RU"/>
              </w:rPr>
              <w:t>149,5</w:t>
            </w:r>
          </w:p>
        </w:tc>
        <w:tc>
          <w:tcPr>
            <w:tcW w:w="670" w:type="dxa"/>
            <w:vAlign w:val="top"/>
          </w:tcPr>
          <w:p>
            <w:pP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  <w:lang w:val="ru-RU" w:eastAsia="ru-RU" w:bidi="ar-SA"/>
              </w:rPr>
            </w:pPr>
            <w:r>
              <w:rPr>
                <w:rFonts w:hint="default"/>
                <w:color w:val="000000"/>
                <w:sz w:val="20"/>
                <w:szCs w:val="20"/>
                <w:lang w:val="ru-RU"/>
              </w:rPr>
              <w:t>111,0</w:t>
            </w:r>
          </w:p>
        </w:tc>
        <w:tc>
          <w:tcPr>
            <w:tcW w:w="670" w:type="dxa"/>
            <w:vAlign w:val="top"/>
          </w:tcPr>
          <w:p>
            <w:pP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  <w:lang w:val="ru-RU" w:eastAsia="ru-RU" w:bidi="ar-SA"/>
              </w:rPr>
            </w:pPr>
            <w:r>
              <w:rPr>
                <w:rFonts w:hint="default"/>
                <w:color w:val="000000"/>
                <w:sz w:val="20"/>
                <w:szCs w:val="20"/>
                <w:lang w:val="ru-RU"/>
              </w:rPr>
              <w:t>70,0</w:t>
            </w:r>
          </w:p>
        </w:tc>
        <w:tc>
          <w:tcPr>
            <w:tcW w:w="680" w:type="dxa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Times New Roman" w:cs="Times New Roman"/>
                <w:i w:val="0"/>
                <w:iCs w:val="0"/>
                <w:color w:val="000000"/>
                <w:sz w:val="20"/>
                <w:szCs w:val="20"/>
                <w:u w:val="none"/>
                <w:lang w:val="ru-RU" w:eastAsia="ru-RU" w:bidi="ar-SA"/>
              </w:rPr>
            </w:pPr>
            <w:r>
              <w:rPr>
                <w:rFonts w:hint="default" w:eastAsia="SimSun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ru-RU" w:eastAsia="zh-CN" w:bidi="ar"/>
              </w:rPr>
              <w:t>4</w:t>
            </w: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50,0</w:t>
            </w:r>
          </w:p>
        </w:tc>
        <w:tc>
          <w:tcPr>
            <w:tcW w:w="720" w:type="dxa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Times New Roman" w:cs="Times New Roman"/>
                <w:i w:val="0"/>
                <w:iCs w:val="0"/>
                <w:color w:val="000000"/>
                <w:sz w:val="20"/>
                <w:szCs w:val="20"/>
                <w:u w:val="none"/>
                <w:lang w:val="ru-RU" w:eastAsia="ru-RU" w:bidi="ar-SA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90,0</w:t>
            </w:r>
          </w:p>
        </w:tc>
        <w:tc>
          <w:tcPr>
            <w:tcW w:w="670" w:type="dxa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Times New Roman" w:cs="Times New Roman"/>
                <w:i w:val="0"/>
                <w:iCs w:val="0"/>
                <w:color w:val="000000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50,0</w:t>
            </w:r>
          </w:p>
        </w:tc>
        <w:tc>
          <w:tcPr>
            <w:tcW w:w="598" w:type="dxa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50,0</w:t>
            </w:r>
          </w:p>
        </w:tc>
      </w:tr>
    </w:tbl>
    <w:p>
      <w:pPr>
        <w:shd w:val="clear" w:color="auto" w:fill="FFFFFF"/>
        <w:ind w:firstLine="72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 </w:t>
      </w:r>
    </w:p>
    <w:p>
      <w:pPr>
        <w:spacing w:line="360" w:lineRule="auto"/>
        <w:ind w:right="-245" w:rightChars="-102" w:firstLine="708"/>
        <w:jc w:val="both"/>
        <w:rPr>
          <w:sz w:val="28"/>
          <w:szCs w:val="28"/>
        </w:rPr>
      </w:pPr>
      <w:r>
        <w:rPr>
          <w:rFonts w:hint="default"/>
          <w:color w:val="000000"/>
          <w:sz w:val="28"/>
          <w:szCs w:val="28"/>
          <w:lang w:val="ru-RU"/>
        </w:rPr>
        <w:t xml:space="preserve">2.4. </w:t>
      </w:r>
      <w:r>
        <w:rPr>
          <w:sz w:val="28"/>
          <w:szCs w:val="28"/>
        </w:rPr>
        <w:t xml:space="preserve">Паспорт </w:t>
      </w:r>
      <w:r>
        <w:rPr>
          <w:sz w:val="28"/>
          <w:szCs w:val="28"/>
          <w:lang w:val="ru-RU"/>
        </w:rPr>
        <w:t>Подпрограммы</w:t>
      </w:r>
      <w:r>
        <w:rPr>
          <w:sz w:val="28"/>
          <w:szCs w:val="28"/>
        </w:rPr>
        <w:t xml:space="preserve"> </w:t>
      </w:r>
      <w:r>
        <w:rPr>
          <w:bCs/>
          <w:sz w:val="28"/>
          <w:szCs w:val="28"/>
        </w:rPr>
        <w:t>«</w:t>
      </w:r>
      <w:r>
        <w:rPr>
          <w:bCs/>
          <w:sz w:val="28"/>
          <w:szCs w:val="28"/>
          <w:lang w:val="ru-RU"/>
        </w:rPr>
        <w:t>Патриотическое</w:t>
      </w:r>
      <w:r>
        <w:rPr>
          <w:rFonts w:hint="default"/>
          <w:bCs/>
          <w:sz w:val="28"/>
          <w:szCs w:val="28"/>
          <w:lang w:val="ru-RU"/>
        </w:rPr>
        <w:t xml:space="preserve"> воспитание граждан</w:t>
      </w:r>
      <w:r>
        <w:rPr>
          <w:bCs/>
          <w:sz w:val="28"/>
          <w:szCs w:val="28"/>
        </w:rPr>
        <w:t xml:space="preserve"> Анучинского муниципального округа»</w:t>
      </w:r>
      <w:r>
        <w:rPr>
          <w:sz w:val="28"/>
          <w:szCs w:val="28"/>
        </w:rPr>
        <w:t xml:space="preserve">, раздел «Объем средств бюджета Анучинского муниципального округа на финансирование </w:t>
      </w:r>
      <w:r>
        <w:rPr>
          <w:spacing w:val="2"/>
          <w:sz w:val="28"/>
          <w:szCs w:val="28"/>
          <w:shd w:val="clear" w:color="auto" w:fill="FFFFFF"/>
        </w:rPr>
        <w:t>муниципальной программы и прогнозная оценка привлекаемых на реализацию ее целей средств федерального, краевого бюджетов, внебюджетных средств</w:t>
      </w:r>
      <w:r>
        <w:rPr>
          <w:sz w:val="28"/>
          <w:szCs w:val="28"/>
        </w:rPr>
        <w:t xml:space="preserve">» читать в новой редакции: </w:t>
      </w:r>
    </w:p>
    <w:p>
      <w:pPr>
        <w:spacing w:line="360" w:lineRule="auto"/>
        <w:ind w:right="-245" w:rightChars="-102" w:firstLine="708"/>
        <w:jc w:val="both"/>
        <w:rPr>
          <w:sz w:val="28"/>
          <w:szCs w:val="28"/>
        </w:rPr>
      </w:pPr>
    </w:p>
    <w:tbl>
      <w:tblPr>
        <w:tblStyle w:val="8"/>
        <w:tblW w:w="9498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406"/>
        <w:gridCol w:w="509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406" w:type="dxa"/>
          </w:tcPr>
          <w:p>
            <w:pPr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Объем средств бюджета Анучинского муниципального района на финансирование </w:t>
            </w:r>
            <w:r>
              <w:rPr>
                <w:spacing w:val="2"/>
                <w:sz w:val="28"/>
                <w:szCs w:val="28"/>
                <w:shd w:val="clear" w:color="auto" w:fill="FFFFFF"/>
              </w:rPr>
              <w:t>муниципальной программы и прогнозная оценка привлекаемых на реализацию ее целей средств федерального, краевого бюджетов, внебюджетных средств</w:t>
            </w:r>
          </w:p>
        </w:tc>
        <w:tc>
          <w:tcPr>
            <w:tcW w:w="5092" w:type="dxa"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Общий объем финансирования –</w:t>
            </w:r>
            <w:r>
              <w:rPr>
                <w:rFonts w:hint="default"/>
                <w:sz w:val="28"/>
                <w:szCs w:val="28"/>
                <w:lang w:val="ru-RU"/>
              </w:rPr>
              <w:t>768,462</w:t>
            </w:r>
            <w:r>
              <w:rPr>
                <w:sz w:val="28"/>
                <w:szCs w:val="28"/>
              </w:rPr>
              <w:t xml:space="preserve"> тыс.</w:t>
            </w:r>
            <w:r>
              <w:rPr>
                <w:color w:val="FF0000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 рублей, в т.ч. по годам:</w:t>
            </w:r>
          </w:p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2020 г.- </w:t>
            </w:r>
            <w:r>
              <w:rPr>
                <w:rFonts w:hint="default"/>
                <w:sz w:val="28"/>
                <w:szCs w:val="28"/>
                <w:lang w:val="ru-RU"/>
              </w:rPr>
              <w:t xml:space="preserve">118,462 </w:t>
            </w:r>
            <w:r>
              <w:rPr>
                <w:sz w:val="28"/>
                <w:szCs w:val="28"/>
              </w:rPr>
              <w:t>тыс.рублей;</w:t>
            </w:r>
          </w:p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2021 г.- </w:t>
            </w:r>
            <w:r>
              <w:rPr>
                <w:rFonts w:hint="default"/>
                <w:sz w:val="28"/>
                <w:szCs w:val="28"/>
                <w:lang w:val="ru-RU"/>
              </w:rPr>
              <w:t>90</w:t>
            </w:r>
            <w:r>
              <w:rPr>
                <w:sz w:val="28"/>
                <w:szCs w:val="28"/>
              </w:rPr>
              <w:t>,0 тыс.рублей;</w:t>
            </w:r>
          </w:p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2022 г.- </w:t>
            </w:r>
            <w:r>
              <w:rPr>
                <w:rFonts w:hint="default"/>
                <w:sz w:val="28"/>
                <w:szCs w:val="28"/>
                <w:lang w:val="ru-RU"/>
              </w:rPr>
              <w:t>9</w:t>
            </w:r>
            <w:r>
              <w:rPr>
                <w:sz w:val="28"/>
                <w:szCs w:val="28"/>
              </w:rPr>
              <w:t>0,0 тыс.рублей;</w:t>
            </w:r>
          </w:p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2023 г.- </w:t>
            </w:r>
            <w:r>
              <w:rPr>
                <w:rFonts w:hint="default"/>
                <w:sz w:val="28"/>
                <w:szCs w:val="28"/>
                <w:lang w:val="ru-RU"/>
              </w:rPr>
              <w:t>170</w:t>
            </w:r>
            <w:r>
              <w:rPr>
                <w:sz w:val="28"/>
                <w:szCs w:val="28"/>
              </w:rPr>
              <w:t>,0 тыс.рублей;</w:t>
            </w:r>
          </w:p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2024 г.- </w:t>
            </w:r>
            <w:r>
              <w:rPr>
                <w:rFonts w:hint="default"/>
                <w:sz w:val="28"/>
                <w:szCs w:val="28"/>
                <w:lang w:val="ru-RU"/>
              </w:rPr>
              <w:t>10</w:t>
            </w:r>
            <w:r>
              <w:rPr>
                <w:sz w:val="28"/>
                <w:szCs w:val="28"/>
              </w:rPr>
              <w:t>0,0 тыс.рублей;</w:t>
            </w:r>
          </w:p>
          <w:p>
            <w:pPr>
              <w:rPr>
                <w:rFonts w:hint="default"/>
                <w:sz w:val="28"/>
                <w:szCs w:val="28"/>
                <w:lang w:val="ru-RU"/>
              </w:rPr>
            </w:pPr>
            <w:r>
              <w:rPr>
                <w:rFonts w:hint="default"/>
                <w:sz w:val="28"/>
                <w:szCs w:val="28"/>
                <w:lang w:val="ru-RU"/>
              </w:rPr>
              <w:t>2025 г. - 100,0 тыс.рублей</w:t>
            </w:r>
          </w:p>
          <w:p>
            <w:pPr>
              <w:rPr>
                <w:sz w:val="28"/>
                <w:szCs w:val="28"/>
              </w:rPr>
            </w:pPr>
            <w:r>
              <w:rPr>
                <w:rFonts w:hint="default"/>
                <w:sz w:val="28"/>
                <w:szCs w:val="28"/>
                <w:lang w:val="ru-RU"/>
              </w:rPr>
              <w:t>2026 г. - 100,0 тыс.рублей</w:t>
            </w:r>
          </w:p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Источник финансирования:</w:t>
            </w:r>
          </w:p>
          <w:p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</w:rPr>
              <w:t>бюджет Анучинского  муниципального округа</w:t>
            </w:r>
          </w:p>
        </w:tc>
      </w:tr>
    </w:tbl>
    <w:p>
      <w:pPr>
        <w:spacing w:line="240" w:lineRule="auto"/>
        <w:ind w:firstLine="708"/>
        <w:jc w:val="both"/>
        <w:rPr>
          <w:bCs/>
          <w:sz w:val="28"/>
          <w:szCs w:val="28"/>
        </w:rPr>
      </w:pPr>
    </w:p>
    <w:p>
      <w:pPr>
        <w:spacing w:line="360" w:lineRule="auto"/>
        <w:ind w:right="-245" w:rightChars="-102" w:firstLine="708"/>
        <w:jc w:val="both"/>
        <w:rPr>
          <w:sz w:val="28"/>
          <w:szCs w:val="28"/>
        </w:rPr>
      </w:pPr>
      <w:r>
        <w:rPr>
          <w:rFonts w:hint="default"/>
          <w:bCs/>
          <w:sz w:val="28"/>
          <w:szCs w:val="28"/>
          <w:lang w:val="ru-RU"/>
        </w:rPr>
        <w:t>2</w:t>
      </w:r>
      <w:r>
        <w:rPr>
          <w:bCs/>
          <w:sz w:val="28"/>
          <w:szCs w:val="28"/>
        </w:rPr>
        <w:t>.</w:t>
      </w:r>
      <w:r>
        <w:rPr>
          <w:rFonts w:hint="default"/>
          <w:bCs/>
          <w:sz w:val="28"/>
          <w:szCs w:val="28"/>
          <w:lang w:val="ru-RU"/>
        </w:rPr>
        <w:t>5</w:t>
      </w:r>
      <w:r>
        <w:rPr>
          <w:b/>
          <w:bCs/>
          <w:sz w:val="28"/>
          <w:szCs w:val="28"/>
        </w:rPr>
        <w:t>.</w:t>
      </w:r>
      <w:r>
        <w:rPr>
          <w:rFonts w:hint="default"/>
          <w:b/>
          <w:bCs/>
          <w:sz w:val="28"/>
          <w:szCs w:val="28"/>
          <w:lang w:val="ru-RU"/>
        </w:rPr>
        <w:t xml:space="preserve"> </w:t>
      </w:r>
      <w:r>
        <w:rPr>
          <w:sz w:val="28"/>
          <w:szCs w:val="28"/>
        </w:rPr>
        <w:t xml:space="preserve">Паспорт </w:t>
      </w:r>
      <w:r>
        <w:rPr>
          <w:sz w:val="28"/>
          <w:szCs w:val="28"/>
          <w:lang w:val="ru-RU"/>
        </w:rPr>
        <w:t>Подпрограммы</w:t>
      </w:r>
      <w:r>
        <w:rPr>
          <w:sz w:val="28"/>
          <w:szCs w:val="28"/>
        </w:rPr>
        <w:t xml:space="preserve"> </w:t>
      </w:r>
      <w:r>
        <w:rPr>
          <w:bCs/>
          <w:sz w:val="28"/>
          <w:szCs w:val="28"/>
        </w:rPr>
        <w:t>«Молодежь Анучинского муниципального округа»</w:t>
      </w:r>
      <w:r>
        <w:rPr>
          <w:sz w:val="28"/>
          <w:szCs w:val="28"/>
        </w:rPr>
        <w:t xml:space="preserve">, раздел «Объем средств бюджета Анучинского муниципального округа на финансирование </w:t>
      </w:r>
      <w:r>
        <w:rPr>
          <w:spacing w:val="2"/>
          <w:sz w:val="28"/>
          <w:szCs w:val="28"/>
          <w:shd w:val="clear" w:color="auto" w:fill="FFFFFF"/>
        </w:rPr>
        <w:t>муниципальной программы и прогнозная оценка привлекаемых на реализацию ее целей средств федерального, краевого бюджетов, внебюджетных средств</w:t>
      </w:r>
      <w:r>
        <w:rPr>
          <w:sz w:val="28"/>
          <w:szCs w:val="28"/>
        </w:rPr>
        <w:t xml:space="preserve">» читать в новой редакции: </w:t>
      </w:r>
    </w:p>
    <w:tbl>
      <w:tblPr>
        <w:tblStyle w:val="8"/>
        <w:tblW w:w="9517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395"/>
        <w:gridCol w:w="512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395" w:type="dxa"/>
          </w:tcPr>
          <w:p>
            <w:pPr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Объем средств бюджета Анучинского муниципального района на финансирование </w:t>
            </w:r>
            <w:r>
              <w:rPr>
                <w:spacing w:val="2"/>
                <w:sz w:val="28"/>
                <w:szCs w:val="28"/>
                <w:shd w:val="clear" w:color="auto" w:fill="FFFFFF"/>
              </w:rPr>
              <w:t>муниципальной программы и прогнозная оценка привлекаемых на реализацию ее целей средств федерального, краевого бюджетов, внебюджетных средств</w:t>
            </w:r>
          </w:p>
        </w:tc>
        <w:tc>
          <w:tcPr>
            <w:tcW w:w="5122" w:type="dxa"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Общий объем финансирования –</w:t>
            </w:r>
            <w:r>
              <w:rPr>
                <w:rFonts w:hint="default"/>
                <w:sz w:val="28"/>
                <w:szCs w:val="28"/>
                <w:lang w:val="ru-RU"/>
              </w:rPr>
              <w:t>1030</w:t>
            </w:r>
            <w:r>
              <w:rPr>
                <w:sz w:val="28"/>
                <w:szCs w:val="28"/>
              </w:rPr>
              <w:t>,5 тыс.</w:t>
            </w:r>
            <w:r>
              <w:rPr>
                <w:color w:val="FF0000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 рублей, в т.ч. по годам:</w:t>
            </w:r>
          </w:p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2020 г.- 159,5 тыс.рублей;</w:t>
            </w:r>
          </w:p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2021 г.- 111,0 тыс.рублей;</w:t>
            </w:r>
          </w:p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2022 г.- 80,0 тыс.рублей;</w:t>
            </w:r>
          </w:p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2023 г.- </w:t>
            </w:r>
            <w:r>
              <w:rPr>
                <w:rFonts w:hint="default"/>
                <w:sz w:val="28"/>
                <w:szCs w:val="28"/>
                <w:lang w:val="ru-RU"/>
              </w:rPr>
              <w:t>46</w:t>
            </w:r>
            <w:r>
              <w:rPr>
                <w:sz w:val="28"/>
                <w:szCs w:val="28"/>
              </w:rPr>
              <w:t>0,0 тыс.рублей;</w:t>
            </w:r>
          </w:p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2024 г.- </w:t>
            </w:r>
            <w:r>
              <w:rPr>
                <w:rFonts w:hint="default"/>
                <w:sz w:val="28"/>
                <w:szCs w:val="28"/>
                <w:lang w:val="ru-RU"/>
              </w:rPr>
              <w:t>10</w:t>
            </w:r>
            <w:r>
              <w:rPr>
                <w:sz w:val="28"/>
                <w:szCs w:val="28"/>
              </w:rPr>
              <w:t>0,0 тыс.рублей;</w:t>
            </w:r>
          </w:p>
          <w:p>
            <w:pPr>
              <w:rPr>
                <w:sz w:val="28"/>
                <w:szCs w:val="28"/>
              </w:rPr>
            </w:pPr>
            <w:r>
              <w:rPr>
                <w:rFonts w:hint="default"/>
                <w:sz w:val="28"/>
                <w:szCs w:val="28"/>
                <w:lang w:val="ru-RU"/>
              </w:rPr>
              <w:t>2025 г. - 6</w:t>
            </w:r>
            <w:r>
              <w:rPr>
                <w:sz w:val="28"/>
                <w:szCs w:val="28"/>
              </w:rPr>
              <w:t>0,0 тыс.рублей;</w:t>
            </w:r>
          </w:p>
          <w:p>
            <w:pPr>
              <w:rPr>
                <w:rFonts w:hint="default"/>
                <w:sz w:val="28"/>
                <w:szCs w:val="28"/>
                <w:lang w:val="ru-RU"/>
              </w:rPr>
            </w:pPr>
            <w:r>
              <w:rPr>
                <w:rFonts w:hint="default"/>
                <w:sz w:val="28"/>
                <w:szCs w:val="28"/>
                <w:lang w:val="ru-RU"/>
              </w:rPr>
              <w:t>2026г. - 6</w:t>
            </w:r>
            <w:r>
              <w:rPr>
                <w:sz w:val="28"/>
                <w:szCs w:val="28"/>
              </w:rPr>
              <w:t>0,0 тыс.рублей;</w:t>
            </w:r>
          </w:p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Источник финансирования:</w:t>
            </w:r>
          </w:p>
          <w:p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</w:rPr>
              <w:t>бюджет Анучинского  муниципального округа</w:t>
            </w:r>
          </w:p>
        </w:tc>
      </w:tr>
    </w:tbl>
    <w:p>
      <w:pPr>
        <w:numPr>
          <w:ilvl w:val="0"/>
          <w:numId w:val="0"/>
        </w:numPr>
        <w:autoSpaceDE w:val="0"/>
        <w:autoSpaceDN w:val="0"/>
        <w:adjustRightInd w:val="0"/>
        <w:spacing w:line="240" w:lineRule="auto"/>
        <w:ind w:left="720" w:leftChars="0"/>
        <w:jc w:val="both"/>
        <w:rPr>
          <w:rFonts w:hint="default"/>
          <w:color w:val="000000"/>
          <w:sz w:val="28"/>
          <w:szCs w:val="28"/>
          <w:lang w:val="ru-RU"/>
        </w:rPr>
      </w:pPr>
    </w:p>
    <w:p>
      <w:pPr>
        <w:autoSpaceDE w:val="0"/>
        <w:autoSpaceDN w:val="0"/>
        <w:adjustRightInd w:val="0"/>
        <w:spacing w:line="360" w:lineRule="auto"/>
        <w:ind w:left="0" w:leftChars="0" w:firstLine="719" w:firstLineChars="257"/>
        <w:jc w:val="both"/>
        <w:rPr>
          <w:rFonts w:eastAsiaTheme="minorHAnsi"/>
          <w:bCs/>
          <w:sz w:val="28"/>
          <w:szCs w:val="28"/>
          <w:lang w:eastAsia="en-US"/>
        </w:rPr>
      </w:pPr>
      <w:r>
        <w:rPr>
          <w:rFonts w:hint="default"/>
          <w:sz w:val="28"/>
          <w:szCs w:val="28"/>
          <w:lang w:val="ru-RU"/>
        </w:rPr>
        <w:t>3.</w:t>
      </w:r>
      <w:r>
        <w:rPr>
          <w:sz w:val="28"/>
          <w:szCs w:val="28"/>
        </w:rPr>
        <w:t xml:space="preserve"> </w:t>
      </w:r>
      <w:r>
        <w:rPr>
          <w:rFonts w:eastAsiaTheme="minorHAnsi"/>
          <w:bCs/>
          <w:sz w:val="28"/>
          <w:szCs w:val="28"/>
          <w:lang w:val="ru-RU" w:eastAsia="en-US"/>
        </w:rPr>
        <w:t>Аппарату</w:t>
      </w:r>
      <w:r>
        <w:rPr>
          <w:rFonts w:eastAsiaTheme="minorHAnsi"/>
          <w:bCs/>
          <w:sz w:val="28"/>
          <w:szCs w:val="28"/>
          <w:lang w:eastAsia="en-US"/>
        </w:rPr>
        <w:t xml:space="preserve"> администрации </w:t>
      </w:r>
      <w:r>
        <w:rPr>
          <w:rFonts w:eastAsiaTheme="minorHAnsi"/>
          <w:bCs/>
          <w:sz w:val="28"/>
          <w:szCs w:val="28"/>
          <w:lang w:val="ru-RU" w:eastAsia="en-US"/>
        </w:rPr>
        <w:t>Анучинского</w:t>
      </w:r>
      <w:r>
        <w:rPr>
          <w:rFonts w:hint="default" w:eastAsiaTheme="minorHAnsi"/>
          <w:bCs/>
          <w:sz w:val="28"/>
          <w:szCs w:val="28"/>
          <w:lang w:val="ru-RU" w:eastAsia="en-US"/>
        </w:rPr>
        <w:t xml:space="preserve"> муници</w:t>
      </w:r>
      <w:bookmarkStart w:id="0" w:name="_GoBack"/>
      <w:bookmarkEnd w:id="0"/>
      <w:r>
        <w:rPr>
          <w:rFonts w:hint="default" w:eastAsiaTheme="minorHAnsi"/>
          <w:bCs/>
          <w:sz w:val="28"/>
          <w:szCs w:val="28"/>
          <w:lang w:val="ru-RU" w:eastAsia="en-US"/>
        </w:rPr>
        <w:t xml:space="preserve">пального </w:t>
      </w:r>
      <w:r>
        <w:rPr>
          <w:rFonts w:eastAsiaTheme="minorHAnsi"/>
          <w:bCs/>
          <w:sz w:val="28"/>
          <w:szCs w:val="28"/>
          <w:lang w:eastAsia="en-US"/>
        </w:rPr>
        <w:t xml:space="preserve">округа (Бурдейной) </w:t>
      </w:r>
      <w:r>
        <w:rPr>
          <w:rFonts w:eastAsiaTheme="minorHAnsi"/>
          <w:bCs/>
          <w:sz w:val="28"/>
          <w:szCs w:val="28"/>
          <w:lang w:val="ru-RU" w:eastAsia="en-US"/>
        </w:rPr>
        <w:t>разместить</w:t>
      </w:r>
      <w:r>
        <w:rPr>
          <w:rFonts w:eastAsiaTheme="minorHAnsi"/>
          <w:bCs/>
          <w:sz w:val="28"/>
          <w:szCs w:val="28"/>
          <w:lang w:eastAsia="en-US"/>
        </w:rPr>
        <w:t xml:space="preserve"> настоящее постановление  на официальном сайте администрации Анучинского муниципального округа в информационно-телекоммуникационной сети Интернет.</w:t>
      </w:r>
    </w:p>
    <w:p>
      <w:pPr>
        <w:spacing w:line="360" w:lineRule="auto"/>
        <w:ind w:left="0" w:leftChars="0" w:firstLine="719" w:firstLineChars="257"/>
        <w:jc w:val="both"/>
        <w:rPr>
          <w:rFonts w:eastAsiaTheme="minorHAnsi"/>
          <w:bCs/>
          <w:sz w:val="28"/>
          <w:szCs w:val="28"/>
          <w:lang w:eastAsia="en-US"/>
        </w:rPr>
      </w:pPr>
      <w:r>
        <w:rPr>
          <w:rFonts w:hint="default" w:eastAsiaTheme="minorHAnsi"/>
          <w:bCs/>
          <w:sz w:val="28"/>
          <w:szCs w:val="28"/>
          <w:lang w:val="ru-RU" w:eastAsia="en-US"/>
        </w:rPr>
        <w:t>4</w:t>
      </w:r>
      <w:r>
        <w:rPr>
          <w:rFonts w:eastAsiaTheme="minorHAnsi"/>
          <w:bCs/>
          <w:sz w:val="28"/>
          <w:szCs w:val="28"/>
          <w:lang w:eastAsia="en-US"/>
        </w:rPr>
        <w:t>. Контроль за исполнением данного постановления возложить на первого заместителя главы администрации Анучинского муниципального округа А.Я.Янчука.</w:t>
      </w:r>
    </w:p>
    <w:p/>
    <w:p>
      <w:pPr>
        <w:rPr>
          <w:sz w:val="28"/>
          <w:szCs w:val="28"/>
        </w:rPr>
      </w:pPr>
      <w:r>
        <w:rPr>
          <w:sz w:val="28"/>
          <w:szCs w:val="28"/>
        </w:rPr>
        <w:t xml:space="preserve">Глава Анучинского </w:t>
      </w:r>
    </w:p>
    <w:p>
      <w:r>
        <w:rPr>
          <w:sz w:val="28"/>
          <w:szCs w:val="28"/>
        </w:rPr>
        <w:t xml:space="preserve">муниципального округа                                                            </w:t>
      </w:r>
      <w:r>
        <w:rPr>
          <w:rFonts w:hint="default"/>
          <w:sz w:val="28"/>
          <w:szCs w:val="28"/>
          <w:lang w:val="ru-RU"/>
        </w:rPr>
        <w:t xml:space="preserve"> </w:t>
      </w:r>
      <w:r>
        <w:rPr>
          <w:sz w:val="28"/>
          <w:szCs w:val="28"/>
        </w:rPr>
        <w:t>С.А.</w:t>
      </w:r>
      <w:r>
        <w:rPr>
          <w:rFonts w:hint="default"/>
          <w:sz w:val="28"/>
          <w:szCs w:val="28"/>
          <w:lang w:val="ru-RU"/>
        </w:rPr>
        <w:t xml:space="preserve"> </w:t>
      </w:r>
      <w:r>
        <w:rPr>
          <w:sz w:val="28"/>
          <w:szCs w:val="28"/>
        </w:rPr>
        <w:t>Понуровский</w:t>
      </w:r>
    </w:p>
    <w:sectPr>
      <w:pgSz w:w="11906" w:h="16838"/>
      <w:pgMar w:top="654" w:right="850" w:bottom="851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 Black">
    <w:panose1 w:val="020B0A04020102020204"/>
    <w:charset w:val="CC"/>
    <w:family w:val="swiss"/>
    <w:pitch w:val="default"/>
    <w:sig w:usb0="A00002AF" w:usb1="400078FB" w:usb2="00000000" w:usb3="00000000" w:csb0="6000009F" w:csb1="DFD7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DCC16466"/>
    <w:multiLevelType w:val="singleLevel"/>
    <w:tmpl w:val="DCC16466"/>
    <w:lvl w:ilvl="0" w:tentative="0">
      <w:start w:val="1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708"/>
  <w:drawingGridVerticalSpacing w:val="156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spaceForUL/>
    <w:doNotLeaveBackslashAlone/>
    <w:ulTrailSpace/>
    <w:doNotExpandShiftReturn/>
    <w:adjustLineHeightInTable/>
    <w:doNotWrapTextWithPunct/>
    <w:doNotUseEastAsianBreakRules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0A31729"/>
    <w:rsid w:val="26C26AE9"/>
    <w:rsid w:val="2CBE0686"/>
    <w:rsid w:val="647848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99" w:name="Body Text"/>
    <w:lsdException w:qFormat="1" w:unhideWhenUsed="0" w:uiPriority="99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99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99" w:semiHidden="0" w:name="Table Grid"/>
    <w:lsdException w:unhideWhenUsed="0" w:uiPriority="0" w:semiHidden="0" w:name="Table Theme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0" w:line="240" w:lineRule="auto"/>
    </w:pPr>
    <w:rPr>
      <w:rFonts w:ascii="Times New Roman" w:hAnsi="Times New Roman" w:eastAsia="Times New Roman" w:cs="Times New Roman"/>
      <w:sz w:val="24"/>
      <w:szCs w:val="24"/>
      <w:lang w:val="ru-RU" w:eastAsia="ru-RU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Strong"/>
    <w:basedOn w:val="2"/>
    <w:qFormat/>
    <w:uiPriority w:val="99"/>
    <w:rPr>
      <w:b/>
      <w:bCs/>
    </w:rPr>
  </w:style>
  <w:style w:type="paragraph" w:styleId="5">
    <w:name w:val="header"/>
    <w:basedOn w:val="1"/>
    <w:qFormat/>
    <w:uiPriority w:val="0"/>
    <w:pPr>
      <w:tabs>
        <w:tab w:val="center" w:pos="4677"/>
        <w:tab w:val="right" w:pos="9355"/>
      </w:tabs>
    </w:pPr>
  </w:style>
  <w:style w:type="paragraph" w:styleId="6">
    <w:name w:val="Body Text"/>
    <w:basedOn w:val="1"/>
    <w:semiHidden/>
    <w:uiPriority w:val="99"/>
    <w:pPr>
      <w:jc w:val="center"/>
    </w:pPr>
    <w:rPr>
      <w:rFonts w:ascii="Arial Black" w:hAnsi="Arial Black" w:cs="Arial Black"/>
      <w:b/>
      <w:bCs/>
      <w:sz w:val="40"/>
      <w:szCs w:val="40"/>
    </w:rPr>
  </w:style>
  <w:style w:type="paragraph" w:styleId="7">
    <w:name w:val="Body Text Indent"/>
    <w:basedOn w:val="1"/>
    <w:semiHidden/>
    <w:qFormat/>
    <w:uiPriority w:val="99"/>
    <w:pPr>
      <w:ind w:firstLine="709"/>
      <w:jc w:val="both"/>
    </w:pPr>
    <w:rPr>
      <w:sz w:val="28"/>
      <w:szCs w:val="28"/>
    </w:rPr>
  </w:style>
  <w:style w:type="table" w:styleId="8">
    <w:name w:val="Table Grid"/>
    <w:basedOn w:val="3"/>
    <w:qFormat/>
    <w:uiPriority w:val="9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9">
    <w:name w:val="ConsPlusTitle"/>
    <w:qFormat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eastAsia="Times New Roman" w:cs="Times New Roman"/>
      <w:b/>
      <w:bCs/>
      <w:sz w:val="24"/>
      <w:szCs w:val="24"/>
      <w:lang w:val="ru-RU" w:eastAsia="ru-RU" w:bidi="ar-SA"/>
    </w:rPr>
  </w:style>
  <w:style w:type="paragraph" w:styleId="10">
    <w:name w:val="List Paragraph"/>
    <w:basedOn w:val="1"/>
    <w:qFormat/>
    <w:uiPriority w:val="34"/>
    <w:pPr>
      <w:ind w:left="720"/>
    </w:p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22</TotalTime>
  <ScaleCrop>false</ScaleCrop>
  <LinksUpToDate>false</LinksUpToDate>
  <CharactersWithSpaces>0</CharactersWithSpaces>
  <Application>WPS Office_12.2.0.13412_F1E327BC-269C-435d-A152-05C5408002CA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2023-01-11T01:18:00Z</dcterms:created>
  <dc:creator>VedernikovaOV</dc:creator>
  <cp:lastModifiedBy>VedernikovaOV</cp:lastModifiedBy>
  <dcterms:modified xsi:type="dcterms:W3CDTF">2024-01-11T06:38:17Z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1049-12.2.0.13412</vt:lpwstr>
  </property>
  <property fmtid="{D5CDD505-2E9C-101B-9397-08002B2CF9AE}" pid="3" name="ICV">
    <vt:lpwstr>1E8FC2E98ACB4CDBB486431655F4ABB1_13</vt:lpwstr>
  </property>
</Properties>
</file>