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797D14">
      <w:pPr>
        <w:ind w:left="0" w:leftChars="0" w:firstLine="0" w:firstLineChars="0"/>
        <w:jc w:val="center"/>
        <w:rPr>
          <w:rStyle w:val="5"/>
          <w:b w:val="0"/>
          <w:sz w:val="26"/>
          <w:szCs w:val="26"/>
        </w:rPr>
      </w:pPr>
      <w:bookmarkStart w:id="0" w:name="_GoBack"/>
      <w:r>
        <w:rPr>
          <w:rStyle w:val="5"/>
          <w:sz w:val="26"/>
          <w:szCs w:val="26"/>
        </w:rPr>
        <w:t>Перечень индикаторов риска</w:t>
      </w:r>
      <w:r>
        <w:rPr>
          <w:b/>
          <w:bCs/>
          <w:color w:val="000000"/>
          <w:sz w:val="26"/>
          <w:szCs w:val="26"/>
        </w:rPr>
        <w:br w:type="textWrapping"/>
      </w:r>
      <w:r>
        <w:rPr>
          <w:rStyle w:val="5"/>
          <w:b w:val="0"/>
          <w:sz w:val="26"/>
          <w:szCs w:val="26"/>
        </w:rPr>
        <w:t>нарушения обязательных требований</w:t>
      </w:r>
      <w:r>
        <w:rPr>
          <w:rStyle w:val="5"/>
          <w:rFonts w:hint="default"/>
          <w:b w:val="0"/>
          <w:sz w:val="26"/>
          <w:szCs w:val="26"/>
          <w:lang w:val="ru-RU"/>
        </w:rPr>
        <w:t xml:space="preserve"> земельного законодательства Российской Федерации</w:t>
      </w:r>
      <w:r>
        <w:rPr>
          <w:rStyle w:val="5"/>
          <w:b w:val="0"/>
          <w:sz w:val="26"/>
          <w:szCs w:val="26"/>
        </w:rPr>
        <w:t>, используемые для проведения внеплановых контрольных(надзорных) мероприятий при</w:t>
      </w:r>
      <w:r>
        <w:rPr>
          <w:bCs/>
          <w:color w:val="000000"/>
          <w:sz w:val="26"/>
          <w:szCs w:val="26"/>
        </w:rPr>
        <w:t xml:space="preserve"> осуществлении</w:t>
      </w:r>
      <w:r>
        <w:rPr>
          <w:rStyle w:val="5"/>
          <w:b w:val="0"/>
          <w:sz w:val="26"/>
          <w:szCs w:val="26"/>
        </w:rPr>
        <w:t xml:space="preserve"> муниципального земельного</w:t>
      </w:r>
      <w:r>
        <w:rPr>
          <w:bCs/>
          <w:color w:val="000000"/>
          <w:sz w:val="26"/>
          <w:szCs w:val="26"/>
        </w:rPr>
        <w:t xml:space="preserve"> </w:t>
      </w:r>
      <w:r>
        <w:rPr>
          <w:rStyle w:val="5"/>
          <w:b w:val="0"/>
          <w:sz w:val="26"/>
          <w:szCs w:val="26"/>
        </w:rPr>
        <w:t>контроля</w:t>
      </w:r>
      <w:bookmarkEnd w:id="0"/>
    </w:p>
    <w:p w14:paraId="631F02CB">
      <w:pPr>
        <w:ind w:firstLine="567"/>
        <w:jc w:val="center"/>
        <w:rPr>
          <w:rStyle w:val="5"/>
          <w:b w:val="0"/>
          <w:sz w:val="26"/>
          <w:szCs w:val="26"/>
        </w:rPr>
      </w:pPr>
    </w:p>
    <w:p w14:paraId="129C8FA4">
      <w:pPr>
        <w:pStyle w:val="6"/>
        <w:ind w:firstLine="567"/>
        <w:jc w:val="both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1.</w:t>
      </w:r>
      <w:r>
        <w:rPr>
          <w:color w:val="FFFFFF" w:themeColor="background1"/>
          <w:sz w:val="26"/>
          <w:szCs w:val="26"/>
          <w14:textFill>
            <w14:solidFill>
              <w14:schemeClr w14:val="bg1"/>
            </w14:solidFill>
          </w14:textFill>
        </w:rPr>
        <w:t>_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Наличие на земельном участке специализированной техники, используемой для снятия и (или) перемещения плодородного слоя почвы.</w:t>
      </w:r>
    </w:p>
    <w:p w14:paraId="437090E1">
      <w:pPr>
        <w:pStyle w:val="6"/>
        <w:ind w:firstLine="567"/>
        <w:jc w:val="both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2.</w:t>
      </w:r>
      <w:r>
        <w:rPr>
          <w:color w:val="FFFFFF" w:themeColor="background1"/>
          <w:sz w:val="26"/>
          <w:szCs w:val="26"/>
          <w14:textFill>
            <w14:solidFill>
              <w14:schemeClr w14:val="bg1"/>
            </w14:solidFill>
          </w14:textFill>
        </w:rPr>
        <w:t>_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Признаки негативных процессов на земельном участке, влияющих на состояние земель сельскохозяйственного назначения и уровень плодородия почвы (водная и ветровая эрозия, сели, подтопление, заболачивание, засоление, иссушение, уплотнение, загрязнение химическими веществами, в том числе радиоактивными, иными веществами и микроорганизмами, загрязнение отходами производства и потребления).</w:t>
      </w:r>
    </w:p>
    <w:p w14:paraId="634D3339">
      <w:pPr>
        <w:pStyle w:val="6"/>
        <w:ind w:firstLine="567"/>
        <w:jc w:val="both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3.</w:t>
      </w:r>
      <w:r>
        <w:rPr>
          <w:color w:val="FFFFFF" w:themeColor="background1"/>
          <w:sz w:val="26"/>
          <w:szCs w:val="26"/>
          <w14:textFill>
            <w14:solidFill>
              <w14:schemeClr w14:val="bg1"/>
            </w14:solidFill>
          </w14:textFill>
        </w:rPr>
        <w:t>_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Выявление не менее чем 25% зарастания площади земельного участка сорными растениями (в период отсутствия снежного покрова), и (или) деревьями, и (или) кустарниками (не относящимися к многолетним насаждениям (в том числе садам, виноградникам), агролесомелиоративным насаждениям, агрофитомелиоративным насаждениям).</w:t>
      </w:r>
    </w:p>
    <w:p w14:paraId="0393D8CF">
      <w:pPr>
        <w:pStyle w:val="6"/>
        <w:ind w:firstLine="567"/>
        <w:jc w:val="both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4.</w:t>
      </w:r>
      <w:r>
        <w:rPr>
          <w:color w:val="FFFFFF" w:themeColor="background1"/>
          <w:sz w:val="26"/>
          <w:szCs w:val="26"/>
          <w14:textFill>
            <w14:solidFill>
              <w14:schemeClr w14:val="bg1"/>
            </w14:solidFill>
          </w14:textFill>
        </w:rPr>
        <w:t>_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Наличие на земельном участке признаков, свидетельствующих о повреждении или уничтожении мелиоративной системы или отдельно расположенного гидротехнического сооружения (утечка воды из канала или отсутствие подачи воды в канале (его части), который входит в мелиоративную систему или является отдельно расположенным гидротехническим сооружением; заболачивание земельного участка, на котором расположены мелиоративная система или отдельно расположенное гидротехническое сооружение), а также агролесомелиоративных насаждений (спиливание, складирование или сжигание древесно-кустарниковой растительности, составляющей защитные лесополосы).</w:t>
      </w:r>
    </w:p>
    <w:p w14:paraId="0932EA94">
      <w:pPr>
        <w:pStyle w:val="6"/>
        <w:ind w:firstLine="567"/>
        <w:jc w:val="both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6"/>
          <w:szCs w:val="26"/>
          <w:lang w:val="ru-RU"/>
          <w14:textFill>
            <w14:solidFill>
              <w14:schemeClr w14:val="tx1"/>
            </w14:solidFill>
          </w14:textFill>
        </w:rPr>
        <w:t>5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.</w:t>
      </w:r>
      <w:r>
        <w:rPr>
          <w:color w:val="FFFFFF" w:themeColor="background1"/>
          <w:sz w:val="26"/>
          <w:szCs w:val="26"/>
          <w14:textFill>
            <w14:solidFill>
              <w14:schemeClr w14:val="bg1"/>
            </w14:solidFill>
          </w14:textFill>
        </w:rPr>
        <w:t>_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Отсутствие в ЕГРН сведений о правах на используемый юридическим лицом, индивидуальным предпринимателем, гражданином земельный участок.</w:t>
      </w:r>
    </w:p>
    <w:p w14:paraId="015DD95B">
      <w:pPr>
        <w:pStyle w:val="6"/>
        <w:ind w:firstLine="567"/>
        <w:jc w:val="both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6"/>
          <w:szCs w:val="26"/>
          <w:lang w:val="ru-RU"/>
          <w14:textFill>
            <w14:solidFill>
              <w14:schemeClr w14:val="tx1"/>
            </w14:solidFill>
          </w14:textFill>
        </w:rPr>
        <w:t>6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.</w:t>
      </w:r>
      <w:r>
        <w:rPr>
          <w:color w:val="FFFFFF" w:themeColor="background1"/>
          <w:sz w:val="26"/>
          <w:szCs w:val="26"/>
          <w14:textFill>
            <w14:solidFill>
              <w14:schemeClr w14:val="bg1"/>
            </w14:solidFill>
          </w14:textFill>
        </w:rPr>
        <w:t>_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Несоответствие использования юридическим лицом, индивидуальным предпринимателем или гражданином земельного участка виду разрешенного использования, сведения о котором содержатся в ЕГРН.</w:t>
      </w:r>
    </w:p>
    <w:p w14:paraId="08682445">
      <w:pPr>
        <w:pStyle w:val="6"/>
        <w:ind w:firstLine="567"/>
        <w:jc w:val="both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6"/>
          <w:szCs w:val="26"/>
          <w:lang w:val="ru-RU"/>
          <w14:textFill>
            <w14:solidFill>
              <w14:schemeClr w14:val="tx1"/>
            </w14:solidFill>
          </w14:textFill>
        </w:rPr>
        <w:t>7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.</w:t>
      </w:r>
      <w:r>
        <w:rPr>
          <w:color w:val="FFFFFF" w:themeColor="background1"/>
          <w:sz w:val="26"/>
          <w:szCs w:val="26"/>
          <w14:textFill>
            <w14:solidFill>
              <w14:schemeClr w14:val="bg1"/>
            </w14:solidFill>
          </w14:textFill>
        </w:rPr>
        <w:t>_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Отсутствие объектов капитального строительства, ведения строительных работ, связанных с возведением объектов капитального строительства на земельном участке, предназначенном для жилищного или иного строительства, по истечении трех лет с даты государственной регистрации права собственности на такой земельный участок лица, являющегося собственником такого земельного участка.</w:t>
      </w:r>
    </w:p>
    <w:p w14:paraId="51670BF9">
      <w:pPr>
        <w:pStyle w:val="6"/>
        <w:ind w:firstLine="567"/>
        <w:jc w:val="both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6"/>
          <w:szCs w:val="26"/>
          <w:lang w:val="ru-RU"/>
          <w14:textFill>
            <w14:solidFill>
              <w14:schemeClr w14:val="tx1"/>
            </w14:solidFill>
          </w14:textFill>
        </w:rPr>
        <w:t>8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.</w:t>
      </w:r>
      <w:r>
        <w:rPr>
          <w:color w:val="FFFFFF" w:themeColor="background1"/>
          <w:sz w:val="26"/>
          <w:szCs w:val="26"/>
          <w14:textFill>
            <w14:solidFill>
              <w14:schemeClr w14:val="bg1"/>
            </w14:solidFill>
          </w14:textFill>
        </w:rPr>
        <w:t>_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Наличие информации о неиспользовании по целевому назначению или использовании с нарушением законодательства Российской Федерации земельного участка из земель сельскохозяйственного назначения, оборот которых регулируется </w:t>
      </w:r>
      <w:r>
        <w:rPr>
          <w:sz w:val="26"/>
          <w:szCs w:val="26"/>
        </w:rPr>
        <w:fldChar w:fldCharType="begin"/>
      </w:r>
      <w:r>
        <w:rPr>
          <w:sz w:val="26"/>
          <w:szCs w:val="26"/>
        </w:rPr>
        <w:instrText xml:space="preserve"> HYPERLINK "https://docs.cntd.ru/document/901821169" \l "7D20K3" </w:instrText>
      </w:r>
      <w:r>
        <w:rPr>
          <w:sz w:val="26"/>
          <w:szCs w:val="26"/>
        </w:rPr>
        <w:fldChar w:fldCharType="separate"/>
      </w:r>
      <w:r>
        <w:rPr>
          <w:rStyle w:val="4"/>
          <w:color w:val="000000" w:themeColor="text1"/>
          <w:sz w:val="26"/>
          <w:szCs w:val="26"/>
          <w:u w:val="none"/>
          <w14:textFill>
            <w14:solidFill>
              <w14:schemeClr w14:val="tx1"/>
            </w14:solidFill>
          </w14:textFill>
        </w:rPr>
        <w:t>Федеральным законом от 24 июля 2002 № 101-ФЗ «Об обороте земель сельскохозяйственного назначения»</w:t>
      </w:r>
      <w:r>
        <w:rPr>
          <w:rStyle w:val="4"/>
          <w:color w:val="000000" w:themeColor="text1"/>
          <w:sz w:val="26"/>
          <w:szCs w:val="26"/>
          <w:u w:val="none"/>
          <w14:textFill>
            <w14:solidFill>
              <w14:schemeClr w14:val="tx1"/>
            </w14:solidFill>
          </w14:textFill>
        </w:rPr>
        <w:fldChar w:fldCharType="end"/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, по истечении одного года с момента приобретения новым собственником такого земельного участка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Федерации.</w:t>
      </w:r>
    </w:p>
    <w:p w14:paraId="18F51748">
      <w:pPr>
        <w:pStyle w:val="6"/>
        <w:ind w:firstLine="708"/>
        <w:jc w:val="both"/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6"/>
          <w:szCs w:val="26"/>
          <w:lang w:val="ru-RU"/>
          <w14:textFill>
            <w14:solidFill>
              <w14:schemeClr w14:val="tx1"/>
            </w14:solidFill>
          </w14:textFill>
        </w:rPr>
        <w:t>9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.</w:t>
      </w:r>
      <w:r>
        <w:rPr>
          <w:color w:val="FFFFFF" w:themeColor="background1"/>
          <w:sz w:val="26"/>
          <w:szCs w:val="26"/>
          <w14:textFill>
            <w14:solidFill>
              <w14:schemeClr w14:val="bg1"/>
            </w14:solidFill>
          </w14:textFill>
        </w:rPr>
        <w:t>_</w:t>
      </w:r>
      <w:r>
        <w:rPr>
          <w:color w:val="000000" w:themeColor="text1"/>
          <w:sz w:val="26"/>
          <w:szCs w:val="26"/>
          <w14:textFill>
            <w14:solidFill>
              <w14:schemeClr w14:val="tx1"/>
            </w14:solidFill>
          </w14:textFill>
        </w:rPr>
        <w:t>Наличие информации о привлечении правообладателя земельного участка к административной ответственности за использование иного принадлежащего ему земельного участка, расположенного в границах того же кадастрового квартала, не по целевому назначению в соответствии с его принадлежностью к той или иной категории земель и (или) разрешенным использованием или неиспользование земельного участка, предназначенного для жилищного или иного строительства, садоводства, огородничества, в указанных целях в случае, если обязанность по использованию такого земельного участка в течение установленного срока предусмотрена федеральным законом.</w:t>
      </w:r>
    </w:p>
    <w:p w14:paraId="1BEFFFE4"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AA6AA7"/>
    <w:rsid w:val="59AA6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qFormat/>
    <w:uiPriority w:val="99"/>
    <w:rPr>
      <w:color w:val="0000FF"/>
      <w:u w:val="single"/>
    </w:rPr>
  </w:style>
  <w:style w:type="character" w:customStyle="1" w:styleId="5">
    <w:name w:val="fontstyle21"/>
    <w:basedOn w:val="2"/>
    <w:qFormat/>
    <w:uiPriority w:val="0"/>
    <w:rPr>
      <w:rFonts w:hint="default" w:ascii="Times New Roman" w:hAnsi="Times New Roman" w:cs="Times New Roman"/>
      <w:b/>
      <w:bCs/>
      <w:color w:val="000000"/>
      <w:sz w:val="26"/>
      <w:szCs w:val="26"/>
    </w:rPr>
  </w:style>
  <w:style w:type="paragraph" w:styleId="6">
    <w:name w:val="No Spacing"/>
    <w:qFormat/>
    <w:uiPriority w:val="1"/>
    <w:rPr>
      <w:rFonts w:ascii="Times New Roman" w:hAnsi="Times New Roman" w:eastAsia="Times New Roman" w:cs="Times New Roman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2025-07-04T02:28:00Z</dcterms:created>
  <dc:creator>MehovskiyVV</dc:creator>
  <cp:lastModifiedBy>MehovskiyVV</cp:lastModifiedBy>
  <dcterms:modified xsi:type="dcterms:W3CDTF">2025-07-04T02:29:15Z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C5BD63ABB2B74F7E8A5596B6F2531325_11</vt:lpwstr>
  </property>
</Properties>
</file>