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4E51A3">
      <w:r>
        <w:rPr>
          <w:noProof/>
        </w:rPr>
        <w:drawing>
          <wp:inline distT="0" distB="0" distL="0" distR="0" wp14:anchorId="293301C1">
            <wp:extent cx="4572000" cy="3048000"/>
            <wp:effectExtent l="0" t="0" r="0" b="0"/>
            <wp:docPr id="11764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51A3" w:rsidRPr="002B63D2" w:rsidRDefault="004E51A3" w:rsidP="002B63D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B63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УФНС России по Приморскому краю информирует об основных изменениях в налогообложении имущества организаций</w:t>
      </w:r>
    </w:p>
    <w:p w:rsidR="004E51A3" w:rsidRPr="002B63D2" w:rsidRDefault="004E51A3" w:rsidP="004E51A3">
      <w:pPr>
        <w:rPr>
          <w:rFonts w:ascii="Times New Roman" w:hAnsi="Times New Roman" w:cs="Times New Roman"/>
          <w:sz w:val="24"/>
          <w:szCs w:val="24"/>
        </w:rPr>
      </w:pPr>
      <w:r w:rsidRPr="002B63D2">
        <w:rPr>
          <w:rFonts w:ascii="Times New Roman" w:hAnsi="Times New Roman" w:cs="Times New Roman"/>
          <w:sz w:val="24"/>
          <w:szCs w:val="24"/>
        </w:rPr>
        <w:t>В соответствии с изменениями, внесенными в Закон Приморского края от 28.11.2003 № 82-КЗ «О налоге на имущество организаций», с 1 января 2025 года для объектов капитального строительства, кадастровая стоимость каждого из которых превышает 300 миллионов рублей, повышена налоговая ставка с 2 до 2,5%.</w:t>
      </w:r>
    </w:p>
    <w:p w:rsidR="004E51A3" w:rsidRPr="002B63D2" w:rsidRDefault="004E51A3" w:rsidP="004E51A3">
      <w:pPr>
        <w:rPr>
          <w:rFonts w:ascii="Times New Roman" w:hAnsi="Times New Roman" w:cs="Times New Roman"/>
          <w:sz w:val="24"/>
          <w:szCs w:val="24"/>
        </w:rPr>
      </w:pPr>
      <w:r w:rsidRPr="002B63D2">
        <w:rPr>
          <w:rFonts w:ascii="Times New Roman" w:hAnsi="Times New Roman" w:cs="Times New Roman"/>
          <w:sz w:val="24"/>
          <w:szCs w:val="24"/>
        </w:rPr>
        <w:t>Налоговая ставка в отношении жилых помещений, гаражей и машино-мест, которые принадлежат на праве собственности личному фонду и налоговая база которых определяется как кадастровая стоимость (за исключением тех, у кого кадастровая стоимость превышает 300 млн руб.), составит 0,3 %.</w:t>
      </w:r>
    </w:p>
    <w:p w:rsidR="004E51A3" w:rsidRPr="002B63D2" w:rsidRDefault="004E51A3" w:rsidP="004E51A3">
      <w:pPr>
        <w:rPr>
          <w:rFonts w:ascii="Times New Roman" w:hAnsi="Times New Roman" w:cs="Times New Roman"/>
          <w:sz w:val="24"/>
          <w:szCs w:val="24"/>
        </w:rPr>
      </w:pPr>
      <w:r w:rsidRPr="002B63D2">
        <w:rPr>
          <w:rFonts w:ascii="Times New Roman" w:hAnsi="Times New Roman" w:cs="Times New Roman"/>
          <w:sz w:val="24"/>
          <w:szCs w:val="24"/>
        </w:rPr>
        <w:t>До 30 июня 2025 года включительно продлен срок использования льготы, установленный для организаций в отношении объектов теплоснабжения, работающих на сжиженном углеводородном газе и очистных сооружений биологической очистки, обеспечивающих функционирование аэропортов.</w:t>
      </w:r>
    </w:p>
    <w:p w:rsidR="004E51A3" w:rsidRPr="002B63D2" w:rsidRDefault="004E51A3" w:rsidP="004E51A3">
      <w:pPr>
        <w:rPr>
          <w:rFonts w:ascii="Times New Roman" w:hAnsi="Times New Roman" w:cs="Times New Roman"/>
          <w:sz w:val="24"/>
          <w:szCs w:val="24"/>
        </w:rPr>
      </w:pPr>
      <w:r w:rsidRPr="002B63D2">
        <w:rPr>
          <w:rFonts w:ascii="Times New Roman" w:hAnsi="Times New Roman" w:cs="Times New Roman"/>
          <w:sz w:val="24"/>
          <w:szCs w:val="24"/>
        </w:rPr>
        <w:t>До 30 июня 2027 года включительно продлен срок использования пониженной налоговой ставки в размере 1,1% для имущества организаций в отношении объектов инженерной инфраструктуры жилищно-коммунального комплекса, предназначенных для водоснабжения и водоотведения, строительство и реконструкция которых осуществлялась в рамках краевой целевой программы «Развитие г. Владивостока как центра международного сотрудничества в Азиатско-Тихоокеанском регионе на 2008 - 2019 годы».</w:t>
      </w:r>
    </w:p>
    <w:p w:rsidR="004E51A3" w:rsidRPr="002B63D2" w:rsidRDefault="004E51A3" w:rsidP="004E51A3">
      <w:pPr>
        <w:rPr>
          <w:rFonts w:ascii="Times New Roman" w:hAnsi="Times New Roman" w:cs="Times New Roman"/>
          <w:sz w:val="24"/>
          <w:szCs w:val="24"/>
        </w:rPr>
      </w:pPr>
      <w:r w:rsidRPr="002B63D2">
        <w:rPr>
          <w:rFonts w:ascii="Times New Roman" w:hAnsi="Times New Roman" w:cs="Times New Roman"/>
          <w:sz w:val="24"/>
          <w:szCs w:val="24"/>
        </w:rPr>
        <w:t>Дополнительную информацию о ставках и льготах можно получить с помощью сервиса ФНС России </w:t>
      </w:r>
      <w:hyperlink r:id="rId5" w:history="1">
        <w:r w:rsidRPr="002B63D2">
          <w:rPr>
            <w:rStyle w:val="ac"/>
            <w:rFonts w:ascii="Times New Roman" w:hAnsi="Times New Roman" w:cs="Times New Roman"/>
            <w:sz w:val="24"/>
            <w:szCs w:val="24"/>
          </w:rPr>
          <w:t>«Справочная информация о ставках и льготах по имущественным налогам»</w:t>
        </w:r>
      </w:hyperlink>
      <w:r w:rsidRPr="002B63D2">
        <w:rPr>
          <w:rFonts w:ascii="Times New Roman" w:hAnsi="Times New Roman" w:cs="Times New Roman"/>
          <w:sz w:val="24"/>
          <w:szCs w:val="24"/>
        </w:rPr>
        <w:t>.</w:t>
      </w:r>
    </w:p>
    <w:sectPr w:rsidR="004E51A3" w:rsidRPr="002B6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A3"/>
    <w:rsid w:val="000F529F"/>
    <w:rsid w:val="002B63D2"/>
    <w:rsid w:val="004E51A3"/>
    <w:rsid w:val="00726F64"/>
    <w:rsid w:val="008119C6"/>
    <w:rsid w:val="0084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0E58E2-74DD-4CE2-A5F1-D5AB318D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5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5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51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5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5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5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5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5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5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5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5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5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51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51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51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51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51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51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5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5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5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5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5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51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51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51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5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51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51A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E51A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E51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2500-31-675\AppData\Local\Temp\notes5A385E\%D0%BE%D0%BE%D0%B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2025-03-02T22:16:00Z</dcterms:created>
  <dcterms:modified xsi:type="dcterms:W3CDTF">2025-03-05T06:13:00Z</dcterms:modified>
</cp:coreProperties>
</file>