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DC965" w14:textId="77777777" w:rsidR="00BC033D" w:rsidRPr="00BC033D" w:rsidRDefault="00BC033D" w:rsidP="00BC033D">
      <w:pPr>
        <w:shd w:val="clear" w:color="auto" w:fill="FFFFFF"/>
        <w:spacing w:after="0" w:line="240" w:lineRule="auto"/>
        <w:outlineLvl w:val="0"/>
        <w:rPr>
          <w:rFonts w:ascii="Arial" w:eastAsia="Times New Roman" w:hAnsi="Arial" w:cs="Arial"/>
          <w:color w:val="333333"/>
          <w:kern w:val="36"/>
          <w:sz w:val="42"/>
          <w:szCs w:val="42"/>
          <w:lang w:eastAsia="ru-RU"/>
        </w:rPr>
      </w:pPr>
      <w:r w:rsidRPr="00BC033D">
        <w:rPr>
          <w:rFonts w:ascii="Arial" w:eastAsia="Times New Roman" w:hAnsi="Arial" w:cs="Arial"/>
          <w:color w:val="333333"/>
          <w:kern w:val="36"/>
          <w:sz w:val="42"/>
          <w:szCs w:val="42"/>
          <w:bdr w:val="none" w:sz="0" w:space="0" w:color="auto" w:frame="1"/>
          <w:lang w:eastAsia="ru-RU"/>
        </w:rPr>
        <w:t>В жару рабочий день должен быть короче</w:t>
      </w:r>
    </w:p>
    <w:p w14:paraId="3C93DFAA" w14:textId="77777777" w:rsidR="00BC033D" w:rsidRPr="00BC033D" w:rsidRDefault="00BC033D" w:rsidP="00BC033D">
      <w:pPr>
        <w:shd w:val="clear" w:color="auto" w:fill="FFFFFF"/>
        <w:spacing w:after="0" w:line="330" w:lineRule="atLeast"/>
        <w:rPr>
          <w:rFonts w:ascii="Arial" w:eastAsia="Times New Roman" w:hAnsi="Arial" w:cs="Arial"/>
          <w:color w:val="333333"/>
          <w:sz w:val="20"/>
          <w:szCs w:val="20"/>
          <w:lang w:eastAsia="ru-RU"/>
        </w:rPr>
      </w:pPr>
      <w:r w:rsidRPr="00BC033D">
        <w:rPr>
          <w:rFonts w:ascii="Arial" w:eastAsia="Times New Roman" w:hAnsi="Arial" w:cs="Arial"/>
          <w:b/>
          <w:bCs/>
          <w:i/>
          <w:iCs/>
          <w:color w:val="333333"/>
          <w:sz w:val="20"/>
          <w:szCs w:val="20"/>
          <w:bdr w:val="none" w:sz="0" w:space="0" w:color="auto" w:frame="1"/>
          <w:lang w:eastAsia="ru-RU"/>
        </w:rPr>
        <w:t>«Должен ли работодатель в жаркую погоду сокращать рабочий день, если помещение, в котором трудятся люди, не оборудовано кондиционерами? Слышала, что, если температура воздуха в помещении выше 25 градусов, рабочий день должны сокращать. Так ли это?» Людмила (Курск).</w:t>
      </w:r>
    </w:p>
    <w:p w14:paraId="0FF84A89"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Отвечает юрист Анна ГВОЗДИЦКИХ: «В СанПиН 2.2.4.548-96 «Гигиенические требования к микроклимату производственных помещений» говорится, что для защиты работающих от возможного перегревания или охлаждения, при температуре воздуха на рабочих местах выше или ниже допустимых величин, время пребывания на рабочих местах (непрерывно или суммарно за рабочую смену) должно быть ограничено.</w:t>
      </w:r>
    </w:p>
    <w:p w14:paraId="43503213"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Указанный СанПиН, безусловно, относится к государственным нормативным требованиям охраны труда и решает прежде всего вопросы охраны труда. В нем говорится об ограничении времени пребывания работников на рабочих местах при превышении предельно допустимых температур в рабочий день (смену). Однако понятие «время пребывания» не идентично понятию «продолжительность рабочего времени».</w:t>
      </w:r>
    </w:p>
    <w:p w14:paraId="769DE79A"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Данный СанПиН устанавливает для работодателя обязанность модифицировать режим труда и отдыха работы, как того требует статья 212 ТК РФ, с тем, чтобы время пребывания на рабочем месте с неблагоприятными производственными факторами соответствовало гигиеническим требованиям. Представляется, что выполнить эту обязанность можно различными способами (отпускать работников раньше домой, ввести дополнительные перерывы, оборудовать комнату для отдыха, переместить на другое рабочее место и прочее).</w:t>
      </w:r>
    </w:p>
    <w:p w14:paraId="22CB03F2"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Если работодатель не выполняет этой обязанности, он одновременно совершает два правонарушения:</w:t>
      </w:r>
    </w:p>
    <w:p w14:paraId="61631E46"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нарушение санитарных правил, так как рабочие места не соответствуют этим правилам по температурным показателям;</w:t>
      </w:r>
    </w:p>
    <w:p w14:paraId="328D4896"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нарушение трудового законодательства, а именно норм об охране труда, так как сотрудники работают в неблагоприятных условиях.</w:t>
      </w:r>
    </w:p>
    <w:p w14:paraId="71265E35"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Значит, если работодатель не ограничивает время пребывания на рабочем месте при повышенных температурах, не предоставляет работнику другую работу, получается, что время пребывания на рабочем месте становится равным времени продолжительности ежедневной работы (смены).</w:t>
      </w:r>
    </w:p>
    <w:p w14:paraId="67F90E8A"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xml:space="preserve">Следовательно, в данном случае, действительно, для работников возникают сверхурочные часы, так как они работают по инициативе работодателя за пределами установленной для них продолжительности рабочего времени. Таким образом, работникам можно порекомендовать обращаться с жалобами в органы Федеральной службы по надзору в сфере защиты прав потребителей и благополучия человека (Роспотребнадзор) или в трудовые инспекции. Штраф, </w:t>
      </w:r>
      <w:r w:rsidRPr="00BC033D">
        <w:rPr>
          <w:rFonts w:ascii="Arial" w:eastAsia="Times New Roman" w:hAnsi="Arial" w:cs="Arial"/>
          <w:color w:val="333333"/>
          <w:sz w:val="20"/>
          <w:szCs w:val="20"/>
          <w:lang w:eastAsia="ru-RU"/>
        </w:rPr>
        <w:lastRenderedPageBreak/>
        <w:t>установленный КоАП РФ для юридических лиц за нарушения санитарных правил, сопоставим с затратами на приобретение и установку кондиционеров и вентиляторов».</w:t>
      </w:r>
    </w:p>
    <w:p w14:paraId="58AFA490"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В приведенной таблице указано возможное время пребывания на рабочих местах при температуре воздуха выше допустимых величин:</w:t>
      </w:r>
    </w:p>
    <w:p w14:paraId="65491FBF"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w:t>
      </w:r>
    </w:p>
    <w:tbl>
      <w:tblPr>
        <w:tblW w:w="12615" w:type="dxa"/>
        <w:tblCellSpacing w:w="15"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6301"/>
        <w:gridCol w:w="2121"/>
        <w:gridCol w:w="2235"/>
        <w:gridCol w:w="1958"/>
      </w:tblGrid>
      <w:tr w:rsidR="00BC033D" w:rsidRPr="00BC033D" w14:paraId="52D2D327"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153D0C2"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Температура воздуха на рабочем месте, °С / Время пребывания, не более, час</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77C6B4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Категория работ Iа-Iб</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0B2D7E75"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Категория работ IIа-IIб</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6B59104A"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Категория работ III</w:t>
            </w:r>
          </w:p>
        </w:tc>
      </w:tr>
      <w:tr w:rsidR="00BC033D" w:rsidRPr="00BC033D" w14:paraId="5FA35EA0"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7CFB6B23"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32,5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544A141A"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1</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38F202FC"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376959B6"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r>
      <w:tr w:rsidR="00BC033D" w:rsidRPr="00BC033D" w14:paraId="5E0F45C6"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19721338"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32,0</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857FED2"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72D78FF5"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52BAA9C1"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r>
      <w:tr w:rsidR="00BC033D" w:rsidRPr="00BC033D" w14:paraId="79CB7979"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0AF4B604"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31,5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68F77F4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79DBDAF4"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1</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026BBA01"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r>
      <w:tr w:rsidR="00BC033D" w:rsidRPr="00BC033D" w14:paraId="5586BE8C"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0E00113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31,0</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33A252DD"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7551ABDE"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593B5DB5"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r>
      <w:tr w:rsidR="00BC033D" w:rsidRPr="00BC033D" w14:paraId="17C39EC7"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2D48D9E0"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30,5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5EDB381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4</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1B04DD9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2,5</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24B6E6DE"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1</w:t>
            </w:r>
          </w:p>
        </w:tc>
      </w:tr>
      <w:tr w:rsidR="00BC033D" w:rsidRPr="00BC033D" w14:paraId="490A9CD9"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6AF00C0"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30,0</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2BC9207"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5</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573AECE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0AA0773A"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w:t>
            </w:r>
          </w:p>
        </w:tc>
      </w:tr>
      <w:tr w:rsidR="00BC033D" w:rsidRPr="00BC033D" w14:paraId="182310FC"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37301430"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29,5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4A8349BB"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5,5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29B07209"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4</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71139AB5"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2,5</w:t>
            </w:r>
          </w:p>
        </w:tc>
      </w:tr>
      <w:tr w:rsidR="00BC033D" w:rsidRPr="00BC033D" w14:paraId="4099C9C7"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144F5783"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29,0</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42DCE666"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6</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2F7FBE88"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5</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52BD3B53"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3</w:t>
            </w:r>
          </w:p>
        </w:tc>
      </w:tr>
      <w:tr w:rsidR="00BC033D" w:rsidRPr="00BC033D" w14:paraId="23A54B46"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66DE9CF9"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28,5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0538F9D1"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7</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75D475FA"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5,5</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72BEFAB8"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4</w:t>
            </w:r>
          </w:p>
        </w:tc>
      </w:tr>
      <w:tr w:rsidR="00BC033D" w:rsidRPr="00BC033D" w14:paraId="4B0E40AB"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17457B99"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28,0</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5FA354C7"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8</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17F838FA"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6</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28AE8AC4"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5</w:t>
            </w:r>
          </w:p>
        </w:tc>
      </w:tr>
      <w:tr w:rsidR="00BC033D" w:rsidRPr="00BC033D" w14:paraId="72A6BD02"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7CD3B430"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27,5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60B48DF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09B85385"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7</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7F68CDA9"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5,5</w:t>
            </w:r>
          </w:p>
        </w:tc>
      </w:tr>
      <w:tr w:rsidR="00BC033D" w:rsidRPr="00BC033D" w14:paraId="234EA21E" w14:textId="77777777" w:rsidTr="00BC033D">
        <w:trPr>
          <w:tblCellSpacing w:w="15" w:type="dxa"/>
        </w:trPr>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01ADF63C"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27,0</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09CBFCB2"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single" w:sz="6" w:space="0" w:color="EEEEEE"/>
              <w:right w:val="dotted" w:sz="6" w:space="0" w:color="EEEEEE"/>
            </w:tcBorders>
            <w:tcMar>
              <w:top w:w="96" w:type="dxa"/>
              <w:left w:w="96" w:type="dxa"/>
              <w:bottom w:w="96" w:type="dxa"/>
              <w:right w:w="96" w:type="dxa"/>
            </w:tcMar>
            <w:vAlign w:val="center"/>
            <w:hideMark/>
          </w:tcPr>
          <w:p w14:paraId="71A9E22D"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8</w:t>
            </w:r>
          </w:p>
        </w:tc>
        <w:tc>
          <w:tcPr>
            <w:tcW w:w="0" w:type="auto"/>
            <w:tcBorders>
              <w:top w:val="nil"/>
              <w:left w:val="nil"/>
              <w:bottom w:val="single" w:sz="6" w:space="0" w:color="EEEEEE"/>
              <w:right w:val="nil"/>
            </w:tcBorders>
            <w:tcMar>
              <w:top w:w="96" w:type="dxa"/>
              <w:left w:w="96" w:type="dxa"/>
              <w:bottom w:w="96" w:type="dxa"/>
              <w:right w:w="96" w:type="dxa"/>
            </w:tcMar>
            <w:vAlign w:val="center"/>
            <w:hideMark/>
          </w:tcPr>
          <w:p w14:paraId="1D56BAF2"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6</w:t>
            </w:r>
          </w:p>
        </w:tc>
      </w:tr>
      <w:tr w:rsidR="00BC033D" w:rsidRPr="00BC033D" w14:paraId="53C0D5B5" w14:textId="77777777" w:rsidTr="00BC033D">
        <w:trPr>
          <w:tblCellSpacing w:w="15" w:type="dxa"/>
        </w:trPr>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1AAE2853"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26,5</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264DC04F"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single" w:sz="6" w:space="0" w:color="EEEEEE"/>
              <w:right w:val="dotted" w:sz="6" w:space="0" w:color="EEEEEE"/>
            </w:tcBorders>
            <w:shd w:val="clear" w:color="auto" w:fill="F9F9F9"/>
            <w:tcMar>
              <w:top w:w="96" w:type="dxa"/>
              <w:left w:w="96" w:type="dxa"/>
              <w:bottom w:w="96" w:type="dxa"/>
              <w:right w:w="96" w:type="dxa"/>
            </w:tcMar>
            <w:vAlign w:val="center"/>
            <w:hideMark/>
          </w:tcPr>
          <w:p w14:paraId="0FD76D78"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single" w:sz="6" w:space="0" w:color="EEEEEE"/>
              <w:right w:val="nil"/>
            </w:tcBorders>
            <w:shd w:val="clear" w:color="auto" w:fill="F9F9F9"/>
            <w:tcMar>
              <w:top w:w="96" w:type="dxa"/>
              <w:left w:w="96" w:type="dxa"/>
              <w:bottom w:w="96" w:type="dxa"/>
              <w:right w:w="96" w:type="dxa"/>
            </w:tcMar>
            <w:vAlign w:val="center"/>
            <w:hideMark/>
          </w:tcPr>
          <w:p w14:paraId="568F551B"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7</w:t>
            </w:r>
          </w:p>
        </w:tc>
      </w:tr>
      <w:tr w:rsidR="00BC033D" w:rsidRPr="00BC033D" w14:paraId="7BD72CBF" w14:textId="77777777" w:rsidTr="00BC033D">
        <w:trPr>
          <w:tblCellSpacing w:w="15" w:type="dxa"/>
        </w:trPr>
        <w:tc>
          <w:tcPr>
            <w:tcW w:w="0" w:type="auto"/>
            <w:tcBorders>
              <w:top w:val="nil"/>
              <w:left w:val="nil"/>
              <w:bottom w:val="nil"/>
              <w:right w:val="dotted" w:sz="6" w:space="0" w:color="EEEEEE"/>
            </w:tcBorders>
            <w:tcMar>
              <w:top w:w="96" w:type="dxa"/>
              <w:left w:w="96" w:type="dxa"/>
              <w:bottom w:w="96" w:type="dxa"/>
              <w:right w:w="96" w:type="dxa"/>
            </w:tcMar>
            <w:vAlign w:val="center"/>
            <w:hideMark/>
          </w:tcPr>
          <w:p w14:paraId="27D365FC"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26,0</w:t>
            </w:r>
          </w:p>
        </w:tc>
        <w:tc>
          <w:tcPr>
            <w:tcW w:w="0" w:type="auto"/>
            <w:tcBorders>
              <w:top w:val="nil"/>
              <w:left w:val="nil"/>
              <w:bottom w:val="nil"/>
              <w:right w:val="dotted" w:sz="6" w:space="0" w:color="EEEEEE"/>
            </w:tcBorders>
            <w:tcMar>
              <w:top w:w="96" w:type="dxa"/>
              <w:left w:w="96" w:type="dxa"/>
              <w:bottom w:w="96" w:type="dxa"/>
              <w:right w:w="96" w:type="dxa"/>
            </w:tcMar>
            <w:vAlign w:val="center"/>
            <w:hideMark/>
          </w:tcPr>
          <w:p w14:paraId="73FC373B"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nil"/>
              <w:right w:val="dotted" w:sz="6" w:space="0" w:color="EEEEEE"/>
            </w:tcBorders>
            <w:tcMar>
              <w:top w:w="96" w:type="dxa"/>
              <w:left w:w="96" w:type="dxa"/>
              <w:bottom w:w="96" w:type="dxa"/>
              <w:right w:w="96" w:type="dxa"/>
            </w:tcMar>
            <w:vAlign w:val="center"/>
            <w:hideMark/>
          </w:tcPr>
          <w:p w14:paraId="2DDFC59A"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w:t>
            </w:r>
          </w:p>
        </w:tc>
        <w:tc>
          <w:tcPr>
            <w:tcW w:w="0" w:type="auto"/>
            <w:tcBorders>
              <w:top w:val="nil"/>
              <w:left w:val="nil"/>
              <w:bottom w:val="nil"/>
              <w:right w:val="nil"/>
            </w:tcBorders>
            <w:tcMar>
              <w:top w:w="96" w:type="dxa"/>
              <w:left w:w="96" w:type="dxa"/>
              <w:bottom w:w="96" w:type="dxa"/>
              <w:right w:w="96" w:type="dxa"/>
            </w:tcMar>
            <w:vAlign w:val="center"/>
            <w:hideMark/>
          </w:tcPr>
          <w:p w14:paraId="7CAC5F76" w14:textId="77777777" w:rsidR="00BC033D" w:rsidRPr="00BC033D" w:rsidRDefault="00BC033D" w:rsidP="00BC033D">
            <w:pPr>
              <w:spacing w:after="0" w:line="240" w:lineRule="auto"/>
              <w:rPr>
                <w:rFonts w:ascii="Times New Roman" w:eastAsia="Times New Roman" w:hAnsi="Times New Roman" w:cs="Times New Roman"/>
                <w:sz w:val="24"/>
                <w:szCs w:val="24"/>
                <w:lang w:eastAsia="ru-RU"/>
              </w:rPr>
            </w:pPr>
            <w:r w:rsidRPr="00BC033D">
              <w:rPr>
                <w:rFonts w:ascii="Times New Roman" w:eastAsia="Times New Roman" w:hAnsi="Times New Roman" w:cs="Times New Roman"/>
                <w:sz w:val="24"/>
                <w:szCs w:val="24"/>
                <w:lang w:eastAsia="ru-RU"/>
              </w:rPr>
              <w:t>8</w:t>
            </w:r>
          </w:p>
        </w:tc>
      </w:tr>
    </w:tbl>
    <w:p w14:paraId="08DC9766"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К категории Iа относятся работы с интенсивностью энерготрат до 139 Вт, производимые сидя и сопровождающиеся незначительным физическим напряжением (ряд профессий на предприятиях точного приборо– и машиностроения, на часовом, швейном производствах, в сфере управления и т. п.).</w:t>
      </w:r>
    </w:p>
    <w:p w14:paraId="11A8C8D9"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К категории Iб – работы с интенсивностью энерготрат 140–174 Вт, производимые сидя, стоя или связанные с ходьбой и сопровождающиеся некоторым физическим напряжением (например, ряд профессий в полиграфической промышленности, на предприятиях связи, контролеры, мастера в различных видах производства и т. п.).</w:t>
      </w:r>
    </w:p>
    <w:p w14:paraId="132DE76E"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xml:space="preserve">** К категории IIа относятся работы с интенсивностью энерготрат 175–232 Вт, связанные с постоянной ходьбой, перемещением мелких (до 1 кг) изделий или предметов в положении стоя </w:t>
      </w:r>
      <w:r w:rsidRPr="00BC033D">
        <w:rPr>
          <w:rFonts w:ascii="Arial" w:eastAsia="Times New Roman" w:hAnsi="Arial" w:cs="Arial"/>
          <w:color w:val="333333"/>
          <w:sz w:val="20"/>
          <w:szCs w:val="20"/>
          <w:lang w:eastAsia="ru-RU"/>
        </w:rPr>
        <w:lastRenderedPageBreak/>
        <w:t>или сидя и требующие определенного физического напряжения (в частности, ряд профессий в механосборочных цехах машиностроительных предприятий, в прядильно-ткацком производстве и т. п.).</w:t>
      </w:r>
    </w:p>
    <w:p w14:paraId="63141C15"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К категории IIб – работы с интенсивностью энерготрат 233–290 Вт, связанные с ходьбой, перемещением и переноской тяжестей до 10 килограммов, сопровождающиеся умеренным физическим напряжением (ряд профессий в механизированных литейных, прокатных, кузнечных, термических, сварочных цехах машиностроительных и металлургических предприятий и т. п.).</w:t>
      </w:r>
    </w:p>
    <w:p w14:paraId="15864984"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 К категории III относятся работы с интенсивностью энерготрат более 290 Вт, связанные с постоянными передвижениями, перемещением и переноской значительных (свыше 10 кг) тяжестей и требующие больших физических усилий (ряд профессий в кузнечных цехах с ручной ковкой, литейных цехах с ручной набивкой и заливкой опок машиностроительных и металлургических предприятий и т. п.).</w:t>
      </w:r>
    </w:p>
    <w:p w14:paraId="5BBF1868"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Офисные работники включаются в категорию Iа. Если температура воздуха на рабочем месте составляет 30°С, продолжительность их рабочего дня не может превышать 5 часов, 31°С – 3 ч, 32°С – 2 ч, при 32,5°С – 1 ч.</w:t>
      </w:r>
    </w:p>
    <w:p w14:paraId="4D18243F"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Основанием для сокращения рабочего времени служат показатели микроклимата, которые определяются в порядке, предусмотренном разделом 7 СанПиН. Работодателю необходимо создать комиссию, которая измерит температуру на рабочих местах. По результатам обследований составляется протокол. В нем комиссия отражает полученные измерения и дает их оценку на соответствие нормативным требованиям.</w:t>
      </w:r>
    </w:p>
    <w:p w14:paraId="32337641" w14:textId="77777777" w:rsidR="00BC033D" w:rsidRPr="00BC033D" w:rsidRDefault="00BC033D" w:rsidP="00BC033D">
      <w:pPr>
        <w:shd w:val="clear" w:color="auto" w:fill="FFFFFF"/>
        <w:spacing w:after="300" w:line="330" w:lineRule="atLeast"/>
        <w:rPr>
          <w:rFonts w:ascii="Arial" w:eastAsia="Times New Roman" w:hAnsi="Arial" w:cs="Arial"/>
          <w:color w:val="333333"/>
          <w:sz w:val="20"/>
          <w:szCs w:val="20"/>
          <w:lang w:eastAsia="ru-RU"/>
        </w:rPr>
      </w:pPr>
      <w:r w:rsidRPr="00BC033D">
        <w:rPr>
          <w:rFonts w:ascii="Arial" w:eastAsia="Times New Roman" w:hAnsi="Arial" w:cs="Arial"/>
          <w:color w:val="333333"/>
          <w:sz w:val="20"/>
          <w:szCs w:val="20"/>
          <w:lang w:eastAsia="ru-RU"/>
        </w:rPr>
        <w:t>Если температура превысит допустимые значения, работодатель должен уменьшить продолжительность рабочего времени сотрудников согласно требованиям СанПиН. Для этого ему нужно издать приказ (со ссылкой на протокол об измерении температуры воздуха на рабочих местах).</w:t>
      </w:r>
    </w:p>
    <w:p w14:paraId="43BB8863" w14:textId="77777777" w:rsidR="006B284A" w:rsidRDefault="006B284A">
      <w:bookmarkStart w:id="0" w:name="_GoBack"/>
      <w:bookmarkEnd w:id="0"/>
    </w:p>
    <w:sectPr w:rsidR="006B28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4A"/>
    <w:rsid w:val="006B284A"/>
    <w:rsid w:val="00BC0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C2366E-34F8-4E32-9B60-ECC4A2C5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C03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033D"/>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C03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C03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7628643">
      <w:bodyDiv w:val="1"/>
      <w:marLeft w:val="0"/>
      <w:marRight w:val="0"/>
      <w:marTop w:val="0"/>
      <w:marBottom w:val="0"/>
      <w:divBdr>
        <w:top w:val="none" w:sz="0" w:space="0" w:color="auto"/>
        <w:left w:val="none" w:sz="0" w:space="0" w:color="auto"/>
        <w:bottom w:val="none" w:sz="0" w:space="0" w:color="auto"/>
        <w:right w:val="none" w:sz="0" w:space="0" w:color="auto"/>
      </w:divBdr>
      <w:divsChild>
        <w:div w:id="217741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4871</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2020-04-02T17:07:00Z</dcterms:created>
  <dcterms:modified xsi:type="dcterms:W3CDTF">2020-04-02T17:07:00Z</dcterms:modified>
</cp:coreProperties>
</file>