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6255C5">
      <w:pPr>
        <w:jc w:val="center"/>
        <w:rPr>
          <w:b/>
          <w:sz w:val="16"/>
        </w:rPr>
      </w:pPr>
      <w:r>
        <w:rPr>
          <w:color w:val="000000"/>
          <w:sz w:val="18"/>
        </w:rPr>
        <w:drawing>
          <wp:inline distT="0" distB="0" distL="0" distR="0">
            <wp:extent cx="641350" cy="9144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641350" cy="914400"/>
                    </a:xfrm>
                    <a:prstGeom prst="rect">
                      <a:avLst/>
                    </a:prstGeom>
                    <a:noFill/>
                    <a:ln>
                      <a:noFill/>
                    </a:ln>
                  </pic:spPr>
                </pic:pic>
              </a:graphicData>
            </a:graphic>
          </wp:inline>
        </w:drawing>
      </w:r>
      <w:r>
        <w:rPr>
          <w:b/>
          <w:sz w:val="16"/>
        </w:rPr>
        <w:t xml:space="preserve">  </w:t>
      </w:r>
    </w:p>
    <w:p w14:paraId="589129FB">
      <w:pPr>
        <w:jc w:val="center"/>
        <w:rPr>
          <w:b/>
          <w:sz w:val="16"/>
        </w:rPr>
      </w:pPr>
    </w:p>
    <w:p w14:paraId="2863E77D">
      <w:pPr>
        <w:jc w:val="center"/>
        <w:rPr>
          <w:b/>
          <w:sz w:val="16"/>
        </w:rPr>
      </w:pPr>
      <w:r>
        <w:rPr>
          <w:b/>
          <w:sz w:val="16"/>
        </w:rPr>
        <w:t xml:space="preserve">                                                                                                     </w:t>
      </w:r>
      <w:bookmarkStart w:id="0" w:name="_GoBack"/>
      <w:bookmarkEnd w:id="0"/>
    </w:p>
    <w:p w14:paraId="4644D711">
      <w:pPr>
        <w:widowControl w:val="0"/>
        <w:jc w:val="center"/>
        <w:rPr>
          <w:rFonts w:ascii="Times New Roman CYR" w:hAnsi="Times New Roman CYR" w:cs="Times New Roman CYR"/>
          <w:b/>
          <w:bCs/>
          <w:sz w:val="32"/>
          <w:szCs w:val="32"/>
        </w:rPr>
      </w:pPr>
      <w:r>
        <w:rPr>
          <w:rFonts w:ascii="Times New Roman CYR" w:hAnsi="Times New Roman CYR" w:cs="Times New Roman CYR"/>
          <w:b/>
          <w:bCs/>
          <w:sz w:val="32"/>
          <w:szCs w:val="32"/>
        </w:rPr>
        <w:t>АДМИНИСТРАЦИЯ</w:t>
      </w:r>
    </w:p>
    <w:p w14:paraId="59FB7686">
      <w:pPr>
        <w:widowControl w:val="0"/>
        <w:jc w:val="center"/>
        <w:rPr>
          <w:rFonts w:ascii="Times New Roman CYR" w:hAnsi="Times New Roman CYR" w:cs="Times New Roman CYR"/>
          <w:b/>
          <w:bCs/>
          <w:sz w:val="32"/>
          <w:szCs w:val="32"/>
        </w:rPr>
      </w:pPr>
      <w:r>
        <w:rPr>
          <w:rFonts w:ascii="Times New Roman CYR" w:hAnsi="Times New Roman CYR" w:cs="Times New Roman CYR"/>
          <w:b/>
          <w:bCs/>
          <w:sz w:val="32"/>
          <w:szCs w:val="32"/>
        </w:rPr>
        <w:t xml:space="preserve">АНУЧИНСКОГО МУНИЦИПАЛЬНОГО ОКРУГА </w:t>
      </w:r>
    </w:p>
    <w:p w14:paraId="1EFEDA3C">
      <w:pPr>
        <w:widowControl w:val="0"/>
        <w:jc w:val="center"/>
        <w:rPr>
          <w:rFonts w:ascii="Times New Roman CYR" w:hAnsi="Times New Roman CYR" w:cs="Times New Roman CYR"/>
          <w:b/>
          <w:bCs/>
          <w:sz w:val="32"/>
          <w:szCs w:val="32"/>
        </w:rPr>
      </w:pPr>
      <w:r>
        <w:rPr>
          <w:rFonts w:ascii="Times New Roman CYR" w:hAnsi="Times New Roman CYR" w:cs="Times New Roman CYR"/>
          <w:b/>
          <w:bCs/>
          <w:sz w:val="32"/>
          <w:szCs w:val="32"/>
        </w:rPr>
        <w:t xml:space="preserve">ПРИМОРСКОГО КРАЯ </w:t>
      </w:r>
    </w:p>
    <w:p w14:paraId="3206E453">
      <w:pPr>
        <w:widowControl w:val="0"/>
        <w:jc w:val="center"/>
        <w:rPr>
          <w:rFonts w:ascii="Times New Roman CYR" w:hAnsi="Times New Roman CYR" w:cs="Times New Roman CYR"/>
          <w:b/>
          <w:bCs/>
          <w:sz w:val="32"/>
          <w:szCs w:val="32"/>
        </w:rPr>
      </w:pPr>
    </w:p>
    <w:p w14:paraId="4D72044A">
      <w:pPr>
        <w:shd w:val="clear" w:color="auto" w:fill="FFFFFF"/>
        <w:jc w:val="center"/>
        <w:rPr>
          <w:rFonts w:ascii="Times New Roman" w:hAnsi="Times New Roman"/>
          <w:color w:val="000000"/>
          <w:sz w:val="28"/>
        </w:rPr>
      </w:pPr>
      <w:r>
        <w:rPr>
          <w:rFonts w:ascii="Times New Roman" w:hAnsi="Times New Roman"/>
          <w:color w:val="000000"/>
          <w:sz w:val="28"/>
        </w:rPr>
        <w:t>П О С Т А Н О В Л Е Н И Е</w:t>
      </w:r>
    </w:p>
    <w:p w14:paraId="2A1B774E">
      <w:pPr>
        <w:widowControl w:val="0"/>
        <w:jc w:val="center"/>
        <w:rPr>
          <w:rFonts w:ascii="Times New Roman CYR" w:hAnsi="Times New Roman CYR" w:cs="Times New Roman CYR"/>
          <w:bCs/>
          <w:sz w:val="28"/>
          <w:szCs w:val="28"/>
        </w:rPr>
      </w:pPr>
    </w:p>
    <w:p w14:paraId="7ABCBECE">
      <w:pPr>
        <w:widowControl w:val="0"/>
        <w:jc w:val="center"/>
        <w:rPr>
          <w:rFonts w:ascii="Times New Roman CYR" w:hAnsi="Times New Roman CYR" w:cs="Times New Roman CYR"/>
          <w:bCs/>
          <w:sz w:val="28"/>
          <w:szCs w:val="28"/>
        </w:rPr>
      </w:pPr>
    </w:p>
    <w:p w14:paraId="35F0CC03">
      <w:pPr>
        <w:widowControl w:val="0"/>
        <w:ind w:firstLine="1120" w:firstLineChars="400"/>
        <w:jc w:val="both"/>
        <w:rPr>
          <w:rFonts w:hint="default" w:ascii="Times New Roman CYR" w:hAnsi="Times New Roman CYR" w:cs="Times New Roman CYR"/>
          <w:sz w:val="28"/>
          <w:szCs w:val="28"/>
          <w:u w:val="single"/>
          <w:lang w:val="ru-RU"/>
        </w:rPr>
      </w:pPr>
      <w:r>
        <w:rPr>
          <w:rFonts w:hint="default" w:ascii="Times New Roman CYR" w:hAnsi="Times New Roman CYR" w:cs="Times New Roman CYR"/>
          <w:sz w:val="28"/>
          <w:szCs w:val="28"/>
          <w:u w:val="single"/>
          <w:lang w:val="ru-RU"/>
        </w:rPr>
        <w:t>12.02.2025</w:t>
      </w:r>
      <w:r>
        <w:rPr>
          <w:rFonts w:hint="default" w:ascii="Times New Roman CYR" w:hAnsi="Times New Roman CYR" w:cs="Times New Roman CYR"/>
          <w:sz w:val="28"/>
          <w:szCs w:val="28"/>
          <w:lang w:val="en-US"/>
        </w:rPr>
        <w:t xml:space="preserve">                             </w:t>
      </w:r>
      <w:r>
        <w:rPr>
          <w:rFonts w:ascii="Times New Roman CYR" w:hAnsi="Times New Roman CYR" w:cs="Times New Roman CYR"/>
          <w:sz w:val="28"/>
          <w:szCs w:val="28"/>
        </w:rPr>
        <w:t xml:space="preserve">с. Анучино                           </w:t>
      </w:r>
      <w:r>
        <w:rPr>
          <w:rFonts w:hint="default" w:ascii="Times New Roman CYR" w:hAnsi="Times New Roman CYR" w:cs="Times New Roman CYR"/>
          <w:sz w:val="28"/>
          <w:szCs w:val="28"/>
          <w:lang w:val="ru-RU"/>
        </w:rPr>
        <w:t xml:space="preserve">    </w:t>
      </w:r>
      <w:r>
        <w:rPr>
          <w:rFonts w:ascii="Times New Roman CYR" w:hAnsi="Times New Roman CYR" w:cs="Times New Roman CYR"/>
          <w:sz w:val="28"/>
          <w:szCs w:val="28"/>
        </w:rPr>
        <w:t xml:space="preserve">  </w:t>
      </w:r>
      <w:r>
        <w:rPr>
          <w:rFonts w:ascii="Times New Roman CYR" w:hAnsi="Times New Roman CYR" w:cs="Times New Roman CYR"/>
          <w:sz w:val="28"/>
          <w:szCs w:val="28"/>
          <w:u w:val="single"/>
        </w:rPr>
        <w:t xml:space="preserve">№ </w:t>
      </w:r>
      <w:r>
        <w:rPr>
          <w:rFonts w:hint="default" w:ascii="Times New Roman CYR" w:hAnsi="Times New Roman CYR" w:cs="Times New Roman CYR"/>
          <w:sz w:val="28"/>
          <w:szCs w:val="28"/>
          <w:u w:val="single"/>
          <w:lang w:val="en-US"/>
        </w:rPr>
        <w:t>121</w:t>
      </w:r>
    </w:p>
    <w:p w14:paraId="71CF6D92">
      <w:pPr>
        <w:widowControl w:val="0"/>
        <w:jc w:val="center"/>
        <w:rPr>
          <w:rFonts w:ascii="Times New Roman CYR" w:hAnsi="Times New Roman CYR" w:cs="Times New Roman CYR"/>
          <w:sz w:val="28"/>
          <w:szCs w:val="28"/>
        </w:rPr>
      </w:pPr>
    </w:p>
    <w:p w14:paraId="710544A7">
      <w:pPr>
        <w:shd w:val="clear" w:color="auto" w:fill="FFFFFF"/>
        <w:jc w:val="center"/>
        <w:rPr>
          <w:b/>
        </w:rPr>
      </w:pPr>
    </w:p>
    <w:p w14:paraId="75871961">
      <w:pPr>
        <w:tabs>
          <w:tab w:val="left" w:pos="8041"/>
        </w:tabs>
        <w:jc w:val="center"/>
        <w:rPr>
          <w:rFonts w:ascii="Times New Roman" w:hAnsi="Times New Roman"/>
          <w:b/>
          <w:sz w:val="28"/>
          <w:szCs w:val="28"/>
        </w:rPr>
      </w:pPr>
      <w:r>
        <w:rPr>
          <w:rFonts w:ascii="Times New Roman" w:hAnsi="Times New Roman"/>
          <w:b/>
          <w:sz w:val="28"/>
          <w:szCs w:val="28"/>
        </w:rPr>
        <w:t xml:space="preserve">О внесении изменений в Порядок разработки и утверждения схемы                     размещения нестационарных торговых объектов на территории </w:t>
      </w:r>
    </w:p>
    <w:p w14:paraId="5AE592C0">
      <w:pPr>
        <w:tabs>
          <w:tab w:val="left" w:pos="8041"/>
        </w:tabs>
        <w:jc w:val="center"/>
        <w:rPr>
          <w:rFonts w:ascii="Times New Roman" w:hAnsi="Times New Roman"/>
          <w:b/>
          <w:sz w:val="28"/>
          <w:szCs w:val="28"/>
        </w:rPr>
      </w:pPr>
      <w:r>
        <w:rPr>
          <w:rFonts w:ascii="Times New Roman" w:hAnsi="Times New Roman"/>
          <w:b/>
          <w:sz w:val="28"/>
          <w:szCs w:val="28"/>
        </w:rPr>
        <w:t>Анучинского муниципального округа Приморского края,                                        утверждённый постановлением администрации                                                           Анучинского муниципального округа</w:t>
      </w:r>
      <w:r>
        <w:rPr>
          <w:rFonts w:hint="default" w:ascii="Times New Roman" w:hAnsi="Times New Roman"/>
          <w:b/>
          <w:sz w:val="28"/>
          <w:szCs w:val="28"/>
          <w:lang w:val="ru-RU"/>
        </w:rPr>
        <w:t xml:space="preserve"> Приморского края                                   </w:t>
      </w:r>
      <w:r>
        <w:rPr>
          <w:rFonts w:ascii="Times New Roman" w:hAnsi="Times New Roman"/>
          <w:b/>
          <w:sz w:val="28"/>
          <w:szCs w:val="28"/>
        </w:rPr>
        <w:t xml:space="preserve"> от 18.06.2021 года № 486</w:t>
      </w:r>
    </w:p>
    <w:p w14:paraId="343BBAF9">
      <w:pPr>
        <w:tabs>
          <w:tab w:val="left" w:pos="8041"/>
        </w:tabs>
        <w:rPr>
          <w:rFonts w:ascii="Times New Roman" w:hAnsi="Times New Roman"/>
          <w:sz w:val="28"/>
          <w:szCs w:val="28"/>
        </w:rPr>
      </w:pPr>
    </w:p>
    <w:p w14:paraId="7280B985">
      <w:pPr>
        <w:tabs>
          <w:tab w:val="left" w:pos="8041"/>
        </w:tabs>
        <w:rPr>
          <w:rFonts w:ascii="Times New Roman" w:hAnsi="Times New Roman"/>
          <w:sz w:val="28"/>
          <w:szCs w:val="28"/>
        </w:rPr>
      </w:pPr>
    </w:p>
    <w:p w14:paraId="4F5A2611">
      <w:pPr>
        <w:spacing w:line="360" w:lineRule="auto"/>
        <w:ind w:firstLine="709"/>
        <w:jc w:val="both"/>
        <w:rPr>
          <w:rFonts w:ascii="Times New Roman" w:hAnsi="Times New Roman"/>
          <w:sz w:val="28"/>
          <w:szCs w:val="28"/>
        </w:rPr>
      </w:pPr>
      <w:r>
        <w:rPr>
          <w:sz w:val="28"/>
          <w:szCs w:val="28"/>
        </w:rPr>
        <w:t xml:space="preserve">В </w:t>
      </w:r>
      <w:r>
        <w:rPr>
          <w:rFonts w:ascii="Times New Roman" w:hAnsi="Times New Roman"/>
          <w:sz w:val="28"/>
          <w:szCs w:val="28"/>
        </w:rPr>
        <w:t>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28.16.2009 № 381-ФЗ «Об основах регулирования торговой деятельности в Российской Федерации», руководствуясь приказом департамента лицензирования и торговли Приморского края от 15 декабря 2015 года № 114 «Об утверждении Порядка разработки и утверждения органами местного самоуправления Приморского края схем размещения нестационарных торговых объектов», Уставом Анучинского муниципального округа Приморского края, администрация Анучинского муниципального округа Приморского края</w:t>
      </w:r>
    </w:p>
    <w:p w14:paraId="507332AA">
      <w:pPr>
        <w:spacing w:line="360" w:lineRule="auto"/>
        <w:jc w:val="both"/>
        <w:rPr>
          <w:rFonts w:ascii="Times New Roman" w:hAnsi="Times New Roman"/>
          <w:color w:val="1E1E1E"/>
          <w:sz w:val="28"/>
          <w:szCs w:val="28"/>
        </w:rPr>
      </w:pPr>
    </w:p>
    <w:p w14:paraId="07270057">
      <w:pPr>
        <w:spacing w:line="360" w:lineRule="auto"/>
        <w:jc w:val="both"/>
        <w:rPr>
          <w:rFonts w:ascii="Times New Roman" w:hAnsi="Times New Roman"/>
          <w:sz w:val="28"/>
          <w:szCs w:val="28"/>
        </w:rPr>
      </w:pPr>
      <w:r>
        <w:rPr>
          <w:rFonts w:ascii="Times New Roman" w:hAnsi="Times New Roman"/>
          <w:sz w:val="28"/>
          <w:szCs w:val="28"/>
        </w:rPr>
        <w:t>ПОСТАНОВЛЯЕТ:</w:t>
      </w:r>
    </w:p>
    <w:p w14:paraId="3AF05153">
      <w:pPr>
        <w:numPr>
          <w:ilvl w:val="0"/>
          <w:numId w:val="0"/>
        </w:numPr>
        <w:spacing w:line="360" w:lineRule="auto"/>
        <w:ind w:firstLine="420" w:firstLineChars="150"/>
        <w:jc w:val="both"/>
        <w:rPr>
          <w:rFonts w:hint="default" w:ascii="Times New Roman" w:hAnsi="Times New Roman"/>
          <w:sz w:val="28"/>
          <w:szCs w:val="28"/>
          <w:lang w:val="ru-RU"/>
        </w:rPr>
      </w:pPr>
      <w:r>
        <w:rPr>
          <w:rFonts w:hint="default" w:ascii="Times New Roman" w:hAnsi="Times New Roman"/>
          <w:sz w:val="28"/>
          <w:szCs w:val="28"/>
          <w:highlight w:val="none"/>
          <w:lang w:val="ru-RU"/>
        </w:rPr>
        <w:t>1. «</w:t>
      </w:r>
      <w:r>
        <w:rPr>
          <w:rFonts w:ascii="Times New Roman" w:hAnsi="Times New Roman"/>
          <w:sz w:val="28"/>
          <w:szCs w:val="28"/>
        </w:rPr>
        <w:t>Поряд</w:t>
      </w:r>
      <w:r>
        <w:rPr>
          <w:rFonts w:ascii="Times New Roman" w:hAnsi="Times New Roman"/>
          <w:sz w:val="28"/>
          <w:szCs w:val="28"/>
          <w:lang w:val="ru-RU"/>
        </w:rPr>
        <w:t>о</w:t>
      </w:r>
      <w:r>
        <w:rPr>
          <w:rFonts w:ascii="Times New Roman" w:hAnsi="Times New Roman"/>
          <w:sz w:val="28"/>
          <w:szCs w:val="28"/>
        </w:rPr>
        <w:t>к разработки и утверждения схемы размещения</w:t>
      </w:r>
      <w:r>
        <w:rPr>
          <w:rFonts w:hint="default" w:ascii="Times New Roman" w:hAnsi="Times New Roman"/>
          <w:sz w:val="28"/>
          <w:szCs w:val="28"/>
          <w:lang w:val="ru-RU"/>
        </w:rPr>
        <w:t xml:space="preserve"> </w:t>
      </w:r>
      <w:r>
        <w:rPr>
          <w:rFonts w:ascii="Times New Roman" w:hAnsi="Times New Roman"/>
          <w:sz w:val="28"/>
          <w:szCs w:val="28"/>
        </w:rPr>
        <w:t>нестационарных торговых объектов на территории Анучинского муниципального округа Приморского края</w:t>
      </w:r>
      <w:r>
        <w:rPr>
          <w:rFonts w:hint="default" w:ascii="Times New Roman" w:hAnsi="Times New Roman"/>
          <w:sz w:val="28"/>
          <w:szCs w:val="28"/>
          <w:lang w:val="ru-RU"/>
        </w:rPr>
        <w:t>»</w:t>
      </w:r>
      <w:r>
        <w:rPr>
          <w:rFonts w:ascii="Times New Roman" w:hAnsi="Times New Roman"/>
          <w:sz w:val="28"/>
          <w:szCs w:val="28"/>
        </w:rPr>
        <w:t>, утверждённ</w:t>
      </w:r>
      <w:r>
        <w:rPr>
          <w:rFonts w:ascii="Times New Roman" w:hAnsi="Times New Roman"/>
          <w:sz w:val="28"/>
          <w:szCs w:val="28"/>
          <w:lang w:val="ru-RU"/>
        </w:rPr>
        <w:t>ый</w:t>
      </w:r>
      <w:r>
        <w:rPr>
          <w:rFonts w:ascii="Times New Roman" w:hAnsi="Times New Roman"/>
          <w:sz w:val="28"/>
          <w:szCs w:val="28"/>
        </w:rPr>
        <w:t xml:space="preserve"> постановлением администрации Анучинского муниципального округа Приморского края от 18.06.2021 года </w:t>
      </w:r>
      <w:r>
        <w:rPr>
          <w:rFonts w:hint="default" w:ascii="Times New Roman" w:hAnsi="Times New Roman"/>
          <w:sz w:val="28"/>
          <w:szCs w:val="28"/>
          <w:lang w:val="ru-RU"/>
        </w:rPr>
        <w:t xml:space="preserve">     </w:t>
      </w:r>
      <w:r>
        <w:rPr>
          <w:rFonts w:ascii="Times New Roman" w:hAnsi="Times New Roman"/>
          <w:sz w:val="28"/>
          <w:szCs w:val="28"/>
        </w:rPr>
        <w:t>№ 486</w:t>
      </w:r>
      <w:r>
        <w:rPr>
          <w:rFonts w:hint="default" w:ascii="Times New Roman" w:hAnsi="Times New Roman"/>
          <w:sz w:val="28"/>
          <w:szCs w:val="28"/>
          <w:lang w:val="ru-RU"/>
        </w:rPr>
        <w:t xml:space="preserve">, </w:t>
      </w:r>
      <w:r>
        <w:rPr>
          <w:rFonts w:ascii="Times New Roman" w:hAnsi="Times New Roman"/>
          <w:sz w:val="28"/>
          <w:szCs w:val="28"/>
          <w:lang w:val="ru-RU"/>
        </w:rPr>
        <w:t>изложить</w:t>
      </w:r>
      <w:r>
        <w:rPr>
          <w:rFonts w:hint="default" w:ascii="Times New Roman" w:hAnsi="Times New Roman"/>
          <w:sz w:val="28"/>
          <w:szCs w:val="28"/>
          <w:lang w:val="ru-RU"/>
        </w:rPr>
        <w:t xml:space="preserve"> </w:t>
      </w:r>
      <w:r>
        <w:rPr>
          <w:rFonts w:ascii="Times New Roman" w:hAnsi="Times New Roman"/>
          <w:sz w:val="28"/>
          <w:szCs w:val="28"/>
          <w:lang w:val="ru-RU"/>
        </w:rPr>
        <w:t>в</w:t>
      </w:r>
      <w:r>
        <w:rPr>
          <w:rFonts w:hint="default" w:ascii="Times New Roman" w:hAnsi="Times New Roman"/>
          <w:sz w:val="28"/>
          <w:szCs w:val="28"/>
          <w:lang w:val="ru-RU"/>
        </w:rPr>
        <w:t xml:space="preserve"> новой редакции (приложение №1).</w:t>
      </w:r>
    </w:p>
    <w:p w14:paraId="637B37C5">
      <w:pPr>
        <w:spacing w:line="360" w:lineRule="auto"/>
        <w:ind w:firstLine="280" w:firstLineChars="100"/>
        <w:jc w:val="both"/>
        <w:rPr>
          <w:rFonts w:hint="default" w:ascii="Times New Roman" w:hAnsi="Times New Roman" w:cs="Times New Roman"/>
          <w:sz w:val="28"/>
          <w:szCs w:val="28"/>
        </w:rPr>
      </w:pPr>
      <w:r>
        <w:rPr>
          <w:rFonts w:ascii="Times New Roman" w:hAnsi="Times New Roman"/>
          <w:sz w:val="28"/>
          <w:szCs w:val="28"/>
        </w:rPr>
        <w:t xml:space="preserve">  </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2</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Аппарату</w:t>
      </w:r>
      <w:r>
        <w:rPr>
          <w:rFonts w:hint="default" w:ascii="Times New Roman" w:hAnsi="Times New Roman" w:cs="Times New Roman"/>
          <w:sz w:val="28"/>
          <w:szCs w:val="28"/>
        </w:rPr>
        <w:t xml:space="preserve"> администрации Анучинского   муниципального    округа </w:t>
      </w:r>
      <w:r>
        <w:rPr>
          <w:rFonts w:hint="default" w:ascii="Times New Roman" w:hAnsi="Times New Roman" w:cs="Times New Roman"/>
          <w:sz w:val="28"/>
          <w:szCs w:val="28"/>
          <w:lang w:val="ru-RU"/>
        </w:rPr>
        <w:t xml:space="preserve">Приморского края </w:t>
      </w:r>
      <w:r>
        <w:rPr>
          <w:rFonts w:hint="default" w:ascii="Times New Roman" w:hAnsi="Times New Roman" w:cs="Times New Roman"/>
          <w:sz w:val="28"/>
          <w:szCs w:val="28"/>
        </w:rPr>
        <w:t>(Бурдейная) опубликовать</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настоящее постановление в средствах массовой  </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информации  и  разместить на официальном сайте администрации Анучинского </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муниципального округа Приморского края в  информационно –  телекоммуникационной сети Интернет. </w:t>
      </w:r>
    </w:p>
    <w:p w14:paraId="62124342">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3. </w:t>
      </w:r>
      <w:r>
        <w:rPr>
          <w:rFonts w:hint="default" w:ascii="Times New Roman" w:hAnsi="Times New Roman" w:cs="Times New Roman"/>
          <w:sz w:val="28"/>
          <w:szCs w:val="28"/>
        </w:rPr>
        <w:t>Настоящее постановление вступает в силу со дня его официального опубликования.</w:t>
      </w:r>
    </w:p>
    <w:p w14:paraId="33397BEF">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4</w:t>
      </w:r>
      <w:r>
        <w:rPr>
          <w:rFonts w:hint="default" w:ascii="Times New Roman" w:hAnsi="Times New Roman" w:cs="Times New Roman"/>
          <w:sz w:val="28"/>
          <w:szCs w:val="28"/>
        </w:rPr>
        <w:t>. Контроль    за    исполнением    настоящего    постановления    возложить  на заместителя главы администрации</w:t>
      </w:r>
      <w:r>
        <w:rPr>
          <w:rFonts w:hint="default" w:ascii="Times New Roman" w:hAnsi="Times New Roman" w:cs="Times New Roman"/>
          <w:sz w:val="28"/>
          <w:szCs w:val="28"/>
          <w:lang w:val="ru-RU"/>
        </w:rPr>
        <w:t>, начальника финансово-экономического управления администрации</w:t>
      </w:r>
      <w:r>
        <w:rPr>
          <w:rFonts w:hint="default" w:ascii="Times New Roman" w:hAnsi="Times New Roman" w:cs="Times New Roman"/>
          <w:sz w:val="28"/>
          <w:szCs w:val="28"/>
        </w:rPr>
        <w:t xml:space="preserve"> Анучинского муниципального округа</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ru-RU"/>
        </w:rPr>
        <w:t>Приморского края</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Г.П. Бондарь</w:t>
      </w:r>
      <w:r>
        <w:rPr>
          <w:rFonts w:hint="default" w:ascii="Times New Roman" w:hAnsi="Times New Roman" w:cs="Times New Roman"/>
          <w:sz w:val="28"/>
          <w:szCs w:val="28"/>
        </w:rPr>
        <w:t xml:space="preserve">.   </w:t>
      </w:r>
      <w:r>
        <w:rPr>
          <w:rFonts w:hint="default"/>
        </w:rPr>
        <w:t xml:space="preserve">       </w:t>
      </w:r>
    </w:p>
    <w:p w14:paraId="27BC944F">
      <w:pPr>
        <w:spacing w:line="360" w:lineRule="auto"/>
        <w:rPr>
          <w:rFonts w:ascii="Times New Roman" w:hAnsi="Times New Roman"/>
          <w:sz w:val="28"/>
          <w:szCs w:val="28"/>
          <w:lang w:val="ru-RU"/>
        </w:rPr>
      </w:pPr>
    </w:p>
    <w:p w14:paraId="7200C692">
      <w:pPr>
        <w:spacing w:line="360" w:lineRule="auto"/>
        <w:rPr>
          <w:rFonts w:ascii="Times New Roman" w:hAnsi="Times New Roman"/>
          <w:sz w:val="28"/>
          <w:szCs w:val="28"/>
          <w:lang w:val="ru-RU"/>
        </w:rPr>
      </w:pPr>
    </w:p>
    <w:p w14:paraId="00F397EC">
      <w:pPr>
        <w:spacing w:line="240" w:lineRule="auto"/>
        <w:rPr>
          <w:rFonts w:ascii="Times New Roman" w:hAnsi="Times New Roman"/>
          <w:sz w:val="28"/>
          <w:szCs w:val="28"/>
        </w:rPr>
      </w:pPr>
      <w:r>
        <w:rPr>
          <w:rFonts w:ascii="Times New Roman" w:hAnsi="Times New Roman"/>
          <w:sz w:val="28"/>
          <w:szCs w:val="28"/>
          <w:lang w:val="ru-RU"/>
        </w:rPr>
        <w:t>Врио</w:t>
      </w:r>
      <w:r>
        <w:rPr>
          <w:rFonts w:hint="default" w:ascii="Times New Roman" w:hAnsi="Times New Roman"/>
          <w:sz w:val="28"/>
          <w:szCs w:val="28"/>
          <w:lang w:val="ru-RU"/>
        </w:rPr>
        <w:t xml:space="preserve"> г</w:t>
      </w:r>
      <w:r>
        <w:rPr>
          <w:rFonts w:ascii="Times New Roman" w:hAnsi="Times New Roman"/>
          <w:sz w:val="28"/>
          <w:szCs w:val="28"/>
        </w:rPr>
        <w:t>лав</w:t>
      </w:r>
      <w:r>
        <w:rPr>
          <w:rFonts w:ascii="Times New Roman" w:hAnsi="Times New Roman"/>
          <w:sz w:val="28"/>
          <w:szCs w:val="28"/>
          <w:lang w:val="ru-RU"/>
        </w:rPr>
        <w:t>ы</w:t>
      </w:r>
      <w:r>
        <w:rPr>
          <w:rFonts w:ascii="Times New Roman" w:hAnsi="Times New Roman"/>
          <w:sz w:val="28"/>
          <w:szCs w:val="28"/>
        </w:rPr>
        <w:t xml:space="preserve"> Анучинского</w:t>
      </w:r>
    </w:p>
    <w:p w14:paraId="25C5E1A6">
      <w:pPr>
        <w:spacing w:line="240" w:lineRule="auto"/>
        <w:rPr>
          <w:rFonts w:hint="default" w:ascii="Times New Roman" w:hAnsi="Times New Roman"/>
          <w:sz w:val="28"/>
          <w:szCs w:val="28"/>
          <w:lang w:val="ru-RU"/>
        </w:rPr>
      </w:pPr>
      <w:r>
        <w:rPr>
          <w:rFonts w:ascii="Times New Roman" w:hAnsi="Times New Roman"/>
          <w:sz w:val="28"/>
          <w:szCs w:val="28"/>
        </w:rPr>
        <w:t xml:space="preserve">муниципального округа                                                                </w:t>
      </w:r>
      <w:r>
        <w:rPr>
          <w:rFonts w:hint="default" w:ascii="Times New Roman" w:hAnsi="Times New Roman"/>
          <w:sz w:val="28"/>
          <w:szCs w:val="28"/>
          <w:lang w:val="ru-RU"/>
        </w:rPr>
        <w:t xml:space="preserve">          </w:t>
      </w:r>
      <w:r>
        <w:rPr>
          <w:rFonts w:ascii="Times New Roman" w:hAnsi="Times New Roman"/>
          <w:sz w:val="28"/>
          <w:szCs w:val="28"/>
          <w:lang w:val="ru-RU"/>
        </w:rPr>
        <w:t>А</w:t>
      </w:r>
      <w:r>
        <w:rPr>
          <w:rFonts w:hint="default" w:ascii="Times New Roman" w:hAnsi="Times New Roman"/>
          <w:sz w:val="28"/>
          <w:szCs w:val="28"/>
          <w:lang w:val="ru-RU"/>
        </w:rPr>
        <w:t>.Я. Янчук</w:t>
      </w:r>
    </w:p>
    <w:p w14:paraId="7A24AE2C">
      <w:pPr>
        <w:spacing w:line="360" w:lineRule="auto"/>
        <w:rPr>
          <w:rFonts w:ascii="Times New Roman" w:hAnsi="Times New Roman"/>
          <w:sz w:val="28"/>
          <w:szCs w:val="28"/>
        </w:rPr>
      </w:pPr>
    </w:p>
    <w:p w14:paraId="17D807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60" w:lineRule="auto"/>
        <w:ind w:left="0" w:right="0"/>
        <w:jc w:val="center"/>
        <w:textAlignment w:val="baseline"/>
        <w:rPr>
          <w:rFonts w:hint="default" w:ascii="Times New Roman" w:hAnsi="Times New Roman" w:cs="Times New Roman"/>
          <w:b/>
          <w:bCs/>
          <w:i w:val="0"/>
          <w:iCs w:val="0"/>
          <w:caps w:val="0"/>
          <w:color w:val="444444"/>
          <w:spacing w:val="0"/>
          <w:sz w:val="24"/>
          <w:szCs w:val="24"/>
          <w:shd w:val="clear" w:fill="FFFFFF"/>
          <w:vertAlign w:val="baseline"/>
        </w:rPr>
      </w:pPr>
    </w:p>
    <w:p w14:paraId="4A9BB6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rFonts w:hint="default" w:ascii="Times New Roman" w:hAnsi="Times New Roman" w:cs="Times New Roman"/>
          <w:b/>
          <w:bCs/>
          <w:i w:val="0"/>
          <w:iCs w:val="0"/>
          <w:caps w:val="0"/>
          <w:color w:val="444444"/>
          <w:spacing w:val="0"/>
          <w:sz w:val="24"/>
          <w:szCs w:val="24"/>
          <w:shd w:val="clear" w:fill="FFFFFF"/>
          <w:vertAlign w:val="baseline"/>
        </w:rPr>
      </w:pPr>
    </w:p>
    <w:p w14:paraId="14BD3E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rFonts w:hint="default" w:ascii="Times New Roman" w:hAnsi="Times New Roman" w:cs="Times New Roman"/>
          <w:b/>
          <w:bCs/>
          <w:i w:val="0"/>
          <w:iCs w:val="0"/>
          <w:caps w:val="0"/>
          <w:color w:val="444444"/>
          <w:spacing w:val="0"/>
          <w:sz w:val="24"/>
          <w:szCs w:val="24"/>
          <w:shd w:val="clear" w:fill="FFFFFF"/>
          <w:vertAlign w:val="baseline"/>
        </w:rPr>
      </w:pPr>
    </w:p>
    <w:p w14:paraId="1265A0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rFonts w:hint="default" w:ascii="Times New Roman" w:hAnsi="Times New Roman" w:cs="Times New Roman"/>
          <w:b/>
          <w:bCs/>
          <w:i w:val="0"/>
          <w:iCs w:val="0"/>
          <w:caps w:val="0"/>
          <w:color w:val="444444"/>
          <w:spacing w:val="0"/>
          <w:sz w:val="24"/>
          <w:szCs w:val="24"/>
          <w:shd w:val="clear" w:fill="FFFFFF"/>
          <w:vertAlign w:val="baseline"/>
        </w:rPr>
      </w:pPr>
    </w:p>
    <w:p w14:paraId="4C80EAE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rFonts w:hint="default" w:ascii="Times New Roman" w:hAnsi="Times New Roman" w:cs="Times New Roman"/>
          <w:b/>
          <w:bCs/>
          <w:i w:val="0"/>
          <w:iCs w:val="0"/>
          <w:caps w:val="0"/>
          <w:color w:val="444444"/>
          <w:spacing w:val="0"/>
          <w:sz w:val="24"/>
          <w:szCs w:val="24"/>
          <w:shd w:val="clear" w:fill="FFFFFF"/>
          <w:vertAlign w:val="baseline"/>
        </w:rPr>
      </w:pPr>
    </w:p>
    <w:p w14:paraId="0CD276A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rFonts w:hint="default" w:ascii="Times New Roman" w:hAnsi="Times New Roman" w:cs="Times New Roman"/>
          <w:b/>
          <w:bCs/>
          <w:i w:val="0"/>
          <w:iCs w:val="0"/>
          <w:caps w:val="0"/>
          <w:color w:val="444444"/>
          <w:spacing w:val="0"/>
          <w:sz w:val="24"/>
          <w:szCs w:val="24"/>
          <w:shd w:val="clear" w:fill="FFFFFF"/>
          <w:vertAlign w:val="baseline"/>
        </w:rPr>
      </w:pPr>
    </w:p>
    <w:p w14:paraId="75F412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jc w:val="center"/>
        <w:textAlignment w:val="baseline"/>
        <w:rPr>
          <w:rFonts w:hint="default" w:ascii="Times New Roman" w:hAnsi="Times New Roman" w:cs="Times New Roman"/>
          <w:b/>
          <w:bCs/>
          <w:i w:val="0"/>
          <w:iCs w:val="0"/>
          <w:caps w:val="0"/>
          <w:color w:val="444444"/>
          <w:spacing w:val="0"/>
          <w:sz w:val="24"/>
          <w:szCs w:val="24"/>
          <w:shd w:val="clear" w:fill="FFFFFF"/>
          <w:vertAlign w:val="baseline"/>
        </w:rPr>
      </w:pPr>
    </w:p>
    <w:p w14:paraId="72B0B909">
      <w:pPr>
        <w:rPr>
          <w:rFonts w:hint="default" w:ascii="Times New Roman" w:hAnsi="Times New Roman" w:cs="Times New Roman"/>
          <w:b/>
          <w:bCs/>
          <w:i w:val="0"/>
          <w:iCs w:val="0"/>
          <w:caps w:val="0"/>
          <w:color w:val="444444"/>
          <w:spacing w:val="0"/>
          <w:sz w:val="24"/>
          <w:szCs w:val="24"/>
          <w:shd w:val="clear" w:fill="FFFFFF"/>
          <w:vertAlign w:val="baseline"/>
        </w:rPr>
      </w:pPr>
    </w:p>
    <w:p w14:paraId="0726DA3C">
      <w:pPr>
        <w:rPr>
          <w:rFonts w:hint="default" w:ascii="Times New Roman" w:hAnsi="Times New Roman" w:cs="Times New Roman"/>
          <w:b/>
          <w:bCs/>
          <w:i w:val="0"/>
          <w:iCs w:val="0"/>
          <w:caps w:val="0"/>
          <w:color w:val="444444"/>
          <w:spacing w:val="0"/>
          <w:sz w:val="24"/>
          <w:szCs w:val="24"/>
          <w:shd w:val="clear" w:fill="FFFFFF"/>
          <w:vertAlign w:val="baseline"/>
        </w:rPr>
      </w:pPr>
    </w:p>
    <w:p w14:paraId="1B680159">
      <w:pPr>
        <w:rPr>
          <w:rFonts w:hint="default" w:ascii="Times New Roman" w:hAnsi="Times New Roman" w:cs="Times New Roman"/>
          <w:b/>
          <w:bCs/>
          <w:i w:val="0"/>
          <w:iCs w:val="0"/>
          <w:caps w:val="0"/>
          <w:color w:val="444444"/>
          <w:spacing w:val="0"/>
          <w:sz w:val="24"/>
          <w:szCs w:val="24"/>
          <w:shd w:val="clear" w:fill="FFFFFF"/>
          <w:vertAlign w:val="baseline"/>
        </w:rPr>
      </w:pPr>
    </w:p>
    <w:p w14:paraId="2C4AAE3F">
      <w:pPr>
        <w:rPr>
          <w:rFonts w:hint="default" w:ascii="Times New Roman" w:hAnsi="Times New Roman" w:cs="Times New Roman"/>
          <w:b/>
          <w:bCs/>
          <w:i w:val="0"/>
          <w:iCs w:val="0"/>
          <w:caps w:val="0"/>
          <w:color w:val="444444"/>
          <w:spacing w:val="0"/>
          <w:sz w:val="24"/>
          <w:szCs w:val="24"/>
          <w:shd w:val="clear" w:fill="FFFFFF"/>
          <w:vertAlign w:val="baseline"/>
        </w:rPr>
      </w:pPr>
    </w:p>
    <w:p w14:paraId="74DCF43D">
      <w:pPr>
        <w:rPr>
          <w:rFonts w:hint="default" w:ascii="Times New Roman" w:hAnsi="Times New Roman" w:cs="Times New Roman"/>
          <w:b/>
          <w:bCs/>
          <w:i w:val="0"/>
          <w:iCs w:val="0"/>
          <w:caps w:val="0"/>
          <w:color w:val="444444"/>
          <w:spacing w:val="0"/>
          <w:sz w:val="24"/>
          <w:szCs w:val="24"/>
          <w:shd w:val="clear" w:fill="FFFFFF"/>
          <w:vertAlign w:val="baseline"/>
        </w:rPr>
      </w:pPr>
    </w:p>
    <w:p w14:paraId="16DE32EA">
      <w:pPr>
        <w:rPr>
          <w:rFonts w:hint="default" w:ascii="Times New Roman" w:hAnsi="Times New Roman" w:cs="Times New Roman"/>
          <w:b/>
          <w:bCs/>
          <w:i w:val="0"/>
          <w:iCs w:val="0"/>
          <w:caps w:val="0"/>
          <w:color w:val="444444"/>
          <w:spacing w:val="0"/>
          <w:sz w:val="24"/>
          <w:szCs w:val="24"/>
          <w:shd w:val="clear" w:fill="FFFFFF"/>
          <w:vertAlign w:val="baseline"/>
        </w:rPr>
      </w:pPr>
    </w:p>
    <w:p w14:paraId="59ECB135">
      <w:pPr>
        <w:rPr>
          <w:rFonts w:hint="default" w:ascii="Times New Roman" w:hAnsi="Times New Roman" w:cs="Times New Roman"/>
          <w:b/>
          <w:bCs/>
          <w:i w:val="0"/>
          <w:iCs w:val="0"/>
          <w:caps w:val="0"/>
          <w:color w:val="444444"/>
          <w:spacing w:val="0"/>
          <w:sz w:val="24"/>
          <w:szCs w:val="24"/>
          <w:shd w:val="clear" w:fill="FFFFFF"/>
          <w:vertAlign w:val="baseline"/>
        </w:rPr>
      </w:pPr>
    </w:p>
    <w:p w14:paraId="26EAFE54">
      <w:pPr>
        <w:widowControl w:val="0"/>
        <w:shd w:val="clear" w:color="auto" w:fill="FFFFFF"/>
        <w:tabs>
          <w:tab w:val="left" w:pos="730"/>
        </w:tabs>
        <w:suppressAutoHyphens/>
        <w:autoSpaceDE w:val="0"/>
        <w:autoSpaceDN w:val="0"/>
        <w:adjustRightInd w:val="0"/>
        <w:jc w:val="right"/>
        <w:rPr>
          <w:rFonts w:ascii="Times New Roman" w:hAnsi="Times New Roman"/>
          <w:sz w:val="28"/>
          <w:szCs w:val="28"/>
        </w:rPr>
      </w:pPr>
      <w:r>
        <w:rPr>
          <w:rFonts w:ascii="Times New Roman" w:hAnsi="Times New Roman"/>
          <w:sz w:val="28"/>
          <w:szCs w:val="28"/>
        </w:rPr>
        <w:t>Приложение № 1</w:t>
      </w:r>
    </w:p>
    <w:p w14:paraId="202BA6FF">
      <w:pPr>
        <w:widowControl w:val="0"/>
        <w:shd w:val="clear" w:color="auto" w:fill="FFFFFF"/>
        <w:tabs>
          <w:tab w:val="left" w:pos="730"/>
        </w:tabs>
        <w:suppressAutoHyphens/>
        <w:autoSpaceDE w:val="0"/>
        <w:autoSpaceDN w:val="0"/>
        <w:adjustRightInd w:val="0"/>
        <w:jc w:val="right"/>
        <w:rPr>
          <w:rFonts w:ascii="Times New Roman" w:hAnsi="Times New Roman"/>
          <w:sz w:val="28"/>
          <w:szCs w:val="28"/>
        </w:rPr>
      </w:pPr>
      <w:r>
        <w:rPr>
          <w:rFonts w:hint="default" w:ascii="Times New Roman" w:hAnsi="Times New Roman"/>
          <w:sz w:val="28"/>
          <w:szCs w:val="28"/>
          <w:lang w:val="ru-RU"/>
        </w:rPr>
        <w:t xml:space="preserve">                                                                  </w:t>
      </w:r>
      <w:r>
        <w:rPr>
          <w:rFonts w:ascii="Times New Roman" w:hAnsi="Times New Roman"/>
          <w:sz w:val="28"/>
          <w:szCs w:val="28"/>
        </w:rPr>
        <w:t>к постановлению Администрации</w:t>
      </w:r>
    </w:p>
    <w:p w14:paraId="45B24D3E">
      <w:pPr>
        <w:widowControl w:val="0"/>
        <w:shd w:val="clear" w:color="auto" w:fill="FFFFFF"/>
        <w:tabs>
          <w:tab w:val="left" w:pos="730"/>
        </w:tabs>
        <w:suppressAutoHyphens/>
        <w:autoSpaceDE w:val="0"/>
        <w:autoSpaceDN w:val="0"/>
        <w:adjustRightInd w:val="0"/>
        <w:jc w:val="right"/>
        <w:rPr>
          <w:rFonts w:ascii="Times New Roman" w:hAnsi="Times New Roman"/>
          <w:sz w:val="28"/>
          <w:szCs w:val="28"/>
        </w:rPr>
      </w:pPr>
      <w:r>
        <w:rPr>
          <w:rFonts w:ascii="Times New Roman" w:hAnsi="Times New Roman"/>
          <w:sz w:val="28"/>
          <w:szCs w:val="28"/>
        </w:rPr>
        <w:t xml:space="preserve"> Анучинского муниципального округа</w:t>
      </w:r>
    </w:p>
    <w:p w14:paraId="074B57BE">
      <w:pPr>
        <w:widowControl w:val="0"/>
        <w:shd w:val="clear" w:color="auto" w:fill="FFFFFF"/>
        <w:tabs>
          <w:tab w:val="left" w:pos="730"/>
        </w:tabs>
        <w:suppressAutoHyphens/>
        <w:wordWrap w:val="0"/>
        <w:autoSpaceDE w:val="0"/>
        <w:autoSpaceDN w:val="0"/>
        <w:adjustRightInd w:val="0"/>
        <w:jc w:val="right"/>
        <w:rPr>
          <w:rFonts w:hint="default" w:ascii="Times New Roman" w:hAnsi="Times New Roman"/>
          <w:sz w:val="28"/>
          <w:szCs w:val="28"/>
          <w:lang w:val="ru-RU"/>
        </w:rPr>
      </w:pPr>
      <w:r>
        <w:rPr>
          <w:rFonts w:hint="default" w:ascii="Times New Roman" w:hAnsi="Times New Roman"/>
          <w:sz w:val="28"/>
          <w:szCs w:val="28"/>
          <w:lang w:val="ru-RU"/>
        </w:rPr>
        <w:t xml:space="preserve">                                        </w:t>
      </w:r>
      <w:r>
        <w:rPr>
          <w:rFonts w:ascii="Times New Roman" w:hAnsi="Times New Roman"/>
          <w:sz w:val="28"/>
          <w:szCs w:val="28"/>
          <w:lang w:val="ru-RU"/>
        </w:rPr>
        <w:t>Приморского</w:t>
      </w:r>
      <w:r>
        <w:rPr>
          <w:rFonts w:hint="default" w:ascii="Times New Roman" w:hAnsi="Times New Roman"/>
          <w:sz w:val="28"/>
          <w:szCs w:val="28"/>
          <w:lang w:val="ru-RU"/>
        </w:rPr>
        <w:t xml:space="preserve"> края</w:t>
      </w:r>
    </w:p>
    <w:p w14:paraId="644A1DBC">
      <w:pPr>
        <w:widowControl w:val="0"/>
        <w:shd w:val="clear" w:color="auto" w:fill="FFFFFF"/>
        <w:tabs>
          <w:tab w:val="left" w:pos="730"/>
        </w:tabs>
        <w:suppressAutoHyphens/>
        <w:autoSpaceDE w:val="0"/>
        <w:autoSpaceDN w:val="0"/>
        <w:adjustRightInd w:val="0"/>
        <w:jc w:val="right"/>
        <w:rPr>
          <w:rFonts w:hint="default" w:ascii="Times New Roman" w:hAnsi="Times New Roman"/>
          <w:sz w:val="28"/>
          <w:szCs w:val="28"/>
          <w:lang w:val="ru-RU"/>
        </w:rPr>
      </w:pPr>
      <w:r>
        <w:rPr>
          <w:rFonts w:ascii="Times New Roman" w:hAnsi="Times New Roman"/>
          <w:sz w:val="28"/>
          <w:szCs w:val="28"/>
        </w:rPr>
        <w:t xml:space="preserve">                                                 </w:t>
      </w:r>
      <w:r>
        <w:rPr>
          <w:rFonts w:ascii="Times New Roman" w:hAnsi="Times New Roman"/>
          <w:sz w:val="28"/>
          <w:szCs w:val="28"/>
          <w:lang w:val="ru-RU"/>
        </w:rPr>
        <w:t>от</w:t>
      </w:r>
      <w:r>
        <w:rPr>
          <w:rFonts w:hint="default" w:ascii="Times New Roman" w:hAnsi="Times New Roman"/>
          <w:sz w:val="28"/>
          <w:szCs w:val="28"/>
          <w:lang w:val="ru-RU"/>
        </w:rPr>
        <w:t xml:space="preserve"> 18.06.202</w:t>
      </w:r>
      <w:r>
        <w:rPr>
          <w:rFonts w:ascii="Times New Roman" w:hAnsi="Times New Roman"/>
          <w:sz w:val="28"/>
          <w:szCs w:val="28"/>
        </w:rPr>
        <w:t xml:space="preserve"> от </w:t>
      </w:r>
      <w:r>
        <w:rPr>
          <w:rFonts w:hint="default" w:ascii="Times New Roman" w:hAnsi="Times New Roman"/>
          <w:sz w:val="28"/>
          <w:szCs w:val="28"/>
          <w:lang w:val="ru-RU"/>
        </w:rPr>
        <w:t xml:space="preserve"> </w:t>
      </w:r>
      <w:r>
        <w:rPr>
          <w:rFonts w:ascii="Times New Roman" w:hAnsi="Times New Roman"/>
          <w:sz w:val="28"/>
          <w:szCs w:val="28"/>
        </w:rPr>
        <w:t xml:space="preserve"> № </w:t>
      </w:r>
      <w:r>
        <w:rPr>
          <w:rFonts w:hint="default" w:ascii="Times New Roman" w:hAnsi="Times New Roman"/>
          <w:sz w:val="28"/>
          <w:szCs w:val="28"/>
          <w:lang w:val="ru-RU"/>
        </w:rPr>
        <w:t>486</w:t>
      </w:r>
    </w:p>
    <w:p w14:paraId="68F32B29">
      <w:pPr>
        <w:widowControl w:val="0"/>
        <w:shd w:val="clear" w:color="auto" w:fill="FFFFFF"/>
        <w:tabs>
          <w:tab w:val="left" w:pos="730"/>
        </w:tabs>
        <w:suppressAutoHyphens/>
        <w:autoSpaceDE w:val="0"/>
        <w:autoSpaceDN w:val="0"/>
        <w:adjustRightInd w:val="0"/>
        <w:jc w:val="right"/>
        <w:rPr>
          <w:rFonts w:hint="default" w:ascii="Times New Roman" w:hAnsi="Times New Roman"/>
          <w:sz w:val="28"/>
          <w:szCs w:val="28"/>
          <w:lang w:val="ru-RU"/>
        </w:rPr>
      </w:pPr>
      <w:r>
        <w:rPr>
          <w:rFonts w:hint="default" w:ascii="Times New Roman" w:hAnsi="Times New Roman"/>
          <w:sz w:val="28"/>
          <w:szCs w:val="28"/>
          <w:lang w:val="ru-RU"/>
        </w:rPr>
        <w:t xml:space="preserve">                                                                         (в редакции от 12.02.2025 №121)</w:t>
      </w:r>
    </w:p>
    <w:p w14:paraId="0A63A9D0">
      <w:pPr>
        <w:widowControl w:val="0"/>
        <w:shd w:val="clear" w:color="auto" w:fill="FFFFFF"/>
        <w:tabs>
          <w:tab w:val="left" w:pos="730"/>
        </w:tabs>
        <w:suppressAutoHyphens/>
        <w:autoSpaceDE w:val="0"/>
        <w:autoSpaceDN w:val="0"/>
        <w:adjustRightInd w:val="0"/>
        <w:spacing w:line="360" w:lineRule="auto"/>
        <w:rPr>
          <w:rFonts w:ascii="Times New Roman" w:hAnsi="Times New Roman"/>
          <w:b/>
          <w:sz w:val="28"/>
          <w:szCs w:val="28"/>
        </w:rPr>
      </w:pPr>
    </w:p>
    <w:p w14:paraId="2C765559">
      <w:pPr>
        <w:suppressAutoHyphens/>
        <w:jc w:val="center"/>
        <w:rPr>
          <w:rFonts w:ascii="Times New Roman" w:hAnsi="Times New Roman"/>
          <w:b/>
          <w:sz w:val="28"/>
          <w:szCs w:val="28"/>
        </w:rPr>
      </w:pPr>
      <w:r>
        <w:rPr>
          <w:rFonts w:ascii="Times New Roman" w:hAnsi="Times New Roman"/>
          <w:b/>
          <w:sz w:val="28"/>
          <w:szCs w:val="28"/>
        </w:rPr>
        <w:t>Порядок разработки и утверждения схемы размещения нестационарных торговых объектов на территории   Анучинского муниципального округа Приморского края</w:t>
      </w:r>
    </w:p>
    <w:p w14:paraId="05EAE779">
      <w:pPr>
        <w:suppressAutoHyphens/>
        <w:spacing w:line="360" w:lineRule="auto"/>
        <w:rPr>
          <w:rFonts w:ascii="Times New Roman" w:hAnsi="Times New Roman"/>
          <w:sz w:val="28"/>
          <w:szCs w:val="28"/>
        </w:rPr>
      </w:pPr>
    </w:p>
    <w:p w14:paraId="1FBEBEA3">
      <w:pPr>
        <w:numPr>
          <w:ilvl w:val="0"/>
          <w:numId w:val="1"/>
        </w:numPr>
        <w:suppressAutoHyphens/>
        <w:spacing w:line="360" w:lineRule="auto"/>
        <w:jc w:val="center"/>
        <w:rPr>
          <w:rFonts w:ascii="Times New Roman" w:hAnsi="Times New Roman"/>
          <w:b/>
          <w:sz w:val="28"/>
          <w:szCs w:val="28"/>
        </w:rPr>
      </w:pPr>
      <w:r>
        <w:rPr>
          <w:rFonts w:ascii="Times New Roman" w:hAnsi="Times New Roman"/>
          <w:b/>
          <w:sz w:val="28"/>
          <w:szCs w:val="28"/>
        </w:rPr>
        <w:t>Общие положения</w:t>
      </w:r>
    </w:p>
    <w:p w14:paraId="7DE2A9A6">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 xml:space="preserve">1.1. Настоящий Порядок разработки и утверждения администрацией  Анучинского муниципального округа Приморского края схемы размещения нестационарных торговых объектов (далее - Порядок) разработан в соответствии с требованиями Федерального закона от 6 октября 2003 года </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131-ФЗ </w:t>
      </w:r>
      <w:r>
        <w:rPr>
          <w:rFonts w:hint="default" w:ascii="Times New Roman" w:hAnsi="Times New Roman" w:cs="Times New Roman"/>
          <w:sz w:val="28"/>
          <w:szCs w:val="28"/>
          <w:lang w:val="ru-RU"/>
        </w:rPr>
        <w:t>«</w:t>
      </w:r>
      <w:r>
        <w:rPr>
          <w:rFonts w:hint="default" w:ascii="Times New Roman" w:hAnsi="Times New Roman" w:cs="Times New Roman"/>
          <w:sz w:val="28"/>
          <w:szCs w:val="28"/>
        </w:rPr>
        <w:t>Об общих принципах организации местного самоуправления в Российской Федерации</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Федерального закона от 28 декабря 2009 года </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381-ФЗ </w:t>
      </w:r>
      <w:r>
        <w:rPr>
          <w:rFonts w:hint="default" w:ascii="Times New Roman" w:hAnsi="Times New Roman" w:cs="Times New Roman"/>
          <w:sz w:val="28"/>
          <w:szCs w:val="28"/>
          <w:lang w:val="ru-RU"/>
        </w:rPr>
        <w:t>«</w:t>
      </w:r>
      <w:r>
        <w:rPr>
          <w:rFonts w:hint="default" w:ascii="Times New Roman" w:hAnsi="Times New Roman" w:cs="Times New Roman"/>
          <w:sz w:val="28"/>
          <w:szCs w:val="28"/>
        </w:rPr>
        <w:t>Об основах государственного регулирования торговой деятельности в Российской Федерации</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приказа департамента лицензирования и торговли Приморского края от 15 декабря 2015 года </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114 </w:t>
      </w:r>
      <w:r>
        <w:rPr>
          <w:rFonts w:hint="default" w:ascii="Times New Roman" w:hAnsi="Times New Roman" w:cs="Times New Roman"/>
          <w:sz w:val="28"/>
          <w:szCs w:val="28"/>
          <w:lang w:val="ru-RU"/>
        </w:rPr>
        <w:t>«</w:t>
      </w:r>
      <w:r>
        <w:rPr>
          <w:rFonts w:hint="default" w:ascii="Times New Roman" w:hAnsi="Times New Roman" w:cs="Times New Roman"/>
          <w:sz w:val="28"/>
          <w:szCs w:val="28"/>
        </w:rPr>
        <w:t>Об утверждении Порядка разработки и утверждения органами местного самоуправления Приморского края схем размещения нестационарных торговых объектов</w:t>
      </w:r>
      <w:r>
        <w:rPr>
          <w:rFonts w:hint="default" w:ascii="Times New Roman" w:hAnsi="Times New Roman" w:cs="Times New Roman"/>
          <w:sz w:val="28"/>
          <w:szCs w:val="28"/>
          <w:lang w:val="ru-RU"/>
        </w:rPr>
        <w:t>»</w:t>
      </w:r>
      <w:r>
        <w:rPr>
          <w:rFonts w:hint="default" w:ascii="Times New Roman" w:hAnsi="Times New Roman" w:cs="Times New Roman"/>
          <w:sz w:val="28"/>
          <w:szCs w:val="28"/>
        </w:rPr>
        <w:t>,  и содержит требования к разработке и утверждению администрацией  Анучинского муниципального округа Приморского края (далее - Администрация) схем размещения нестационарных торговых объектов на территории Анучинского муниципального округа Приморского края (далее - Схема).</w:t>
      </w:r>
    </w:p>
    <w:p w14:paraId="5AC9BCDA">
      <w:pPr>
        <w:spacing w:line="360" w:lineRule="auto"/>
        <w:ind w:firstLine="420" w:firstLineChars="150"/>
        <w:jc w:val="both"/>
        <w:rPr>
          <w:rFonts w:hint="default" w:ascii="Times New Roman" w:hAnsi="Times New Roman" w:cs="Times New Roman"/>
          <w:sz w:val="28"/>
          <w:szCs w:val="28"/>
          <w:lang w:val="ru-RU"/>
        </w:rPr>
      </w:pPr>
      <w:r>
        <w:rPr>
          <w:rFonts w:hint="default" w:ascii="Times New Roman" w:hAnsi="Times New Roman" w:cs="Times New Roman"/>
          <w:sz w:val="28"/>
          <w:szCs w:val="28"/>
        </w:rPr>
        <w:t>1.2. Включение в Схему нестационарных торговых объектов, расположенных на земельных участках, в зданиях, строениях, сооружениях, находящихся в муниципальной собственности, а также на земельных участках, собственность на которые не разграничена, осуществляется в соответствии с настоящим Порядком.</w:t>
      </w:r>
      <w:r>
        <w:rPr>
          <w:rFonts w:hint="default" w:ascii="Times New Roman" w:hAnsi="Times New Roman" w:cs="Times New Roman"/>
          <w:sz w:val="28"/>
          <w:szCs w:val="28"/>
          <w:lang w:val="ru-RU"/>
        </w:rPr>
        <w:t xml:space="preserve">                                                                                                                       </w:t>
      </w:r>
    </w:p>
    <w:p w14:paraId="2ECDE4A6">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1.3. Порядок размещения и использования нестационарных торговых объектов в стационарном торговом объекте, в ином здании, строении, сооружении или, находящихся в частной собственности, устанавливается собственником стационарного торгового объекта, иного здания, строения, сооружения или земельного участка с учетом требований, определенных законодательством Российской Федерации.</w:t>
      </w:r>
    </w:p>
    <w:p w14:paraId="22724066">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1.4. Действие положений настоящего Порядка не распространяется на отношения, связанные с торговым обслуживанием при проведении массовых праздничных, общественно-политических, культурно-массовых и спортивно-массовых мероприятий, проводимых по решению органов власти субъектов Российской Федерации или органов местного самоуправления либо согласованных с ними в установленном порядке.</w:t>
      </w:r>
    </w:p>
    <w:p w14:paraId="32B6AE3B">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 xml:space="preserve">1.5. Размещение нестационарных торговых объектов осуществляется в соответствии со Схемой, утверждаемой </w:t>
      </w:r>
      <w:r>
        <w:rPr>
          <w:rFonts w:hint="default" w:ascii="Times New Roman" w:hAnsi="Times New Roman" w:cs="Times New Roman"/>
          <w:sz w:val="28"/>
          <w:szCs w:val="28"/>
          <w:lang w:val="ru-RU"/>
        </w:rPr>
        <w:t xml:space="preserve">администрацией Анучинского муниципального округ </w:t>
      </w:r>
      <w:r>
        <w:rPr>
          <w:rFonts w:hint="default" w:ascii="Times New Roman" w:hAnsi="Times New Roman" w:cs="Times New Roman"/>
          <w:sz w:val="28"/>
          <w:szCs w:val="28"/>
        </w:rPr>
        <w:t>и на основании договора (соглашения) хозяйствующего субъекта с уполномоченным органом местного самоуправления.</w:t>
      </w:r>
    </w:p>
    <w:p w14:paraId="558CC85C">
      <w:pPr>
        <w:spacing w:line="360" w:lineRule="auto"/>
        <w:ind w:firstLine="420" w:firstLineChars="150"/>
        <w:jc w:val="both"/>
        <w:rPr>
          <w:rFonts w:hint="default" w:ascii="Times New Roman" w:hAnsi="Times New Roman" w:cs="Times New Roman"/>
          <w:sz w:val="28"/>
          <w:szCs w:val="28"/>
          <w:lang w:val="ru-RU"/>
        </w:rPr>
      </w:pPr>
      <w:r>
        <w:rPr>
          <w:rFonts w:hint="default" w:ascii="Times New Roman" w:hAnsi="Times New Roman" w:cs="Times New Roman"/>
          <w:sz w:val="28"/>
          <w:szCs w:val="28"/>
        </w:rPr>
        <w:t xml:space="preserve">1.6. Отбор претендентов на право включения в Схему осуществляется по результатам </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аукциона, либо без проведения аукциона в соответствии с </w:t>
      </w:r>
      <w:r>
        <w:rPr>
          <w:rFonts w:hint="default" w:ascii="Times New Roman" w:hAnsi="Times New Roman" w:cs="Times New Roman"/>
          <w:sz w:val="28"/>
          <w:szCs w:val="28"/>
          <w:lang w:val="ru-RU"/>
        </w:rPr>
        <w:t>П</w:t>
      </w:r>
      <w:r>
        <w:rPr>
          <w:rFonts w:hint="default" w:ascii="Times New Roman" w:hAnsi="Times New Roman" w:cs="Times New Roman"/>
          <w:sz w:val="28"/>
          <w:szCs w:val="28"/>
        </w:rPr>
        <w:t>орядком</w:t>
      </w:r>
      <w:r>
        <w:rPr>
          <w:rFonts w:hint="default" w:ascii="Times New Roman" w:hAnsi="Times New Roman" w:cs="Times New Roman"/>
          <w:sz w:val="28"/>
          <w:szCs w:val="28"/>
          <w:lang w:val="ru-RU"/>
        </w:rPr>
        <w:t>.</w:t>
      </w:r>
    </w:p>
    <w:p w14:paraId="0791097B">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1.7. Порядок проведения аукциона, определения победителя, порядок и сроки включения претендентов на право включения в Схему, а также порядок установления платы за право включения хозяйствующего субъекта в Схему, платы за право размещения нестационарного торгового объекта утверждаются</w:t>
      </w:r>
      <w:r>
        <w:rPr>
          <w:rFonts w:hint="default" w:ascii="Times New Roman" w:hAnsi="Times New Roman" w:cs="Times New Roman"/>
          <w:sz w:val="28"/>
          <w:szCs w:val="28"/>
          <w:lang w:val="ru-RU"/>
        </w:rPr>
        <w:t xml:space="preserve"> постановлением администрации Анучинского муниципального округа</w:t>
      </w:r>
      <w:r>
        <w:rPr>
          <w:rFonts w:hint="default" w:ascii="Times New Roman" w:hAnsi="Times New Roman" w:cs="Times New Roman"/>
          <w:sz w:val="28"/>
          <w:szCs w:val="28"/>
        </w:rPr>
        <w:t>.</w:t>
      </w:r>
    </w:p>
    <w:p w14:paraId="516700AA">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1.</w:t>
      </w:r>
      <w:r>
        <w:rPr>
          <w:rFonts w:hint="default" w:ascii="Times New Roman" w:hAnsi="Times New Roman" w:cs="Times New Roman"/>
          <w:sz w:val="28"/>
          <w:szCs w:val="28"/>
          <w:lang w:val="ru-RU"/>
        </w:rPr>
        <w:t>8</w:t>
      </w:r>
      <w:r>
        <w:rPr>
          <w:rFonts w:hint="default" w:ascii="Times New Roman" w:hAnsi="Times New Roman" w:cs="Times New Roman"/>
          <w:sz w:val="28"/>
          <w:szCs w:val="28"/>
        </w:rPr>
        <w:t>. Уполномоченным органом администрации Анучинского муниципального</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округа по разработке и формированию Схемы размещения нестационарных торговых объектов (далее - Схема размещения НТО) является финансово-экономическое управление администрации Анучинского муниципального округа Приморского края (далее – Уполномоченный орган).</w:t>
      </w:r>
    </w:p>
    <w:p w14:paraId="779155FE">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1.</w:t>
      </w:r>
      <w:r>
        <w:rPr>
          <w:rFonts w:hint="default" w:ascii="Times New Roman" w:hAnsi="Times New Roman" w:cs="Times New Roman"/>
          <w:sz w:val="28"/>
          <w:szCs w:val="28"/>
          <w:lang w:val="ru-RU"/>
        </w:rPr>
        <w:t>9</w:t>
      </w:r>
      <w:r>
        <w:rPr>
          <w:rFonts w:hint="default" w:ascii="Times New Roman" w:hAnsi="Times New Roman" w:cs="Times New Roman"/>
          <w:sz w:val="28"/>
          <w:szCs w:val="28"/>
        </w:rPr>
        <w:t>. Уполномоченным органом администрации Анучинского муниципального округа по заключению договоров на размещение нестационарных объектов является отдел имущественных и земельных отношений управления</w:t>
      </w:r>
      <w:r>
        <w:rPr>
          <w:rFonts w:hint="default" w:ascii="Times New Roman" w:hAnsi="Times New Roman" w:cs="Times New Roman"/>
          <w:sz w:val="28"/>
          <w:szCs w:val="28"/>
          <w:lang w:val="ru-RU"/>
        </w:rPr>
        <w:t xml:space="preserve"> градостроительных, имущественных и земельных отношений </w:t>
      </w:r>
      <w:r>
        <w:rPr>
          <w:rFonts w:hint="default" w:ascii="Times New Roman" w:hAnsi="Times New Roman" w:cs="Times New Roman"/>
          <w:sz w:val="28"/>
          <w:szCs w:val="28"/>
        </w:rPr>
        <w:t>администрации Анучинского муниципального округа Приморского края.</w:t>
      </w:r>
    </w:p>
    <w:p w14:paraId="6F1AE4E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jc w:val="center"/>
        <w:textAlignment w:val="baseline"/>
        <w:rPr>
          <w:rFonts w:hint="default" w:ascii="Times New Roman" w:hAnsi="Times New Roman" w:cs="Times New Roman"/>
          <w:b/>
          <w:bCs/>
          <w:color w:val="auto"/>
          <w:sz w:val="28"/>
          <w:szCs w:val="28"/>
          <w:u w:val="none"/>
        </w:rPr>
      </w:pPr>
      <w:r>
        <w:rPr>
          <w:rFonts w:hint="default" w:ascii="Times New Roman" w:hAnsi="Times New Roman" w:cs="Times New Roman"/>
          <w:b/>
          <w:bCs/>
          <w:i w:val="0"/>
          <w:iCs w:val="0"/>
          <w:caps w:val="0"/>
          <w:color w:val="auto"/>
          <w:spacing w:val="0"/>
          <w:sz w:val="28"/>
          <w:szCs w:val="28"/>
          <w:u w:val="none"/>
          <w:shd w:val="clear" w:fill="FFFFFF"/>
          <w:vertAlign w:val="baseline"/>
        </w:rPr>
        <w:t>2. Цели и принципы разработки, утверждения и использования схем размещения нестационарных торговых объектов</w:t>
      </w:r>
    </w:p>
    <w:p w14:paraId="01278FD4">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2.1. Схема в Анучинском</w:t>
      </w:r>
      <w:r>
        <w:rPr>
          <w:rFonts w:hint="default" w:ascii="Times New Roman" w:hAnsi="Times New Roman" w:cs="Times New Roman"/>
          <w:sz w:val="28"/>
          <w:szCs w:val="28"/>
          <w:lang w:val="en-US"/>
        </w:rPr>
        <w:t xml:space="preserve"> муниципальном округе</w:t>
      </w:r>
      <w:r>
        <w:rPr>
          <w:rFonts w:hint="default" w:ascii="Times New Roman" w:hAnsi="Times New Roman" w:cs="Times New Roman"/>
          <w:sz w:val="28"/>
          <w:szCs w:val="28"/>
        </w:rPr>
        <w:t xml:space="preserve"> утверждается  в целом для всего округа, без разделения на входящие в его состав населенные пункты. </w:t>
      </w:r>
    </w:p>
    <w:p w14:paraId="44ED0EAB">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2.2. Включение объектов в Схему осуществляется в целях:</w:t>
      </w:r>
    </w:p>
    <w:p w14:paraId="61814C19">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обеспечения единства требований к организации торговой деятельности при размещении нестационарных торговых объектов на территории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w:t>
      </w:r>
      <w:r>
        <w:rPr>
          <w:rFonts w:hint="default" w:ascii="Times New Roman" w:hAnsi="Times New Roman" w:cs="Times New Roman"/>
          <w:sz w:val="28"/>
          <w:szCs w:val="28"/>
          <w:lang w:val="ru-RU"/>
        </w:rPr>
        <w:t>ого</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округа</w:t>
      </w:r>
      <w:r>
        <w:rPr>
          <w:rFonts w:hint="default" w:ascii="Times New Roman" w:hAnsi="Times New Roman" w:cs="Times New Roman"/>
          <w:sz w:val="28"/>
          <w:szCs w:val="28"/>
        </w:rPr>
        <w:t xml:space="preserve"> Приморского края;</w:t>
      </w:r>
    </w:p>
    <w:p w14:paraId="56155D26">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соблюдения прав и законных интересов юридических лиц, индивидуальных предпринимателей, а также физических лиц, не являющихся индивидуальными предпринимателями и применяющих специальный налоговый режим </w:t>
      </w:r>
      <w:r>
        <w:rPr>
          <w:rFonts w:hint="default" w:ascii="Times New Roman" w:hAnsi="Times New Roman" w:cs="Times New Roman"/>
          <w:sz w:val="28"/>
          <w:szCs w:val="28"/>
          <w:lang w:val="ru-RU"/>
        </w:rPr>
        <w:t>«</w:t>
      </w:r>
      <w:r>
        <w:rPr>
          <w:rFonts w:hint="default" w:ascii="Times New Roman" w:hAnsi="Times New Roman" w:cs="Times New Roman"/>
          <w:sz w:val="28"/>
          <w:szCs w:val="28"/>
        </w:rPr>
        <w:t>Налог на профессиональный доход</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в течение срока проведения эксперимента, установленного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"https://docs.cntd.ru/document/551760705" \l "64U0IK"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xml:space="preserve">Федеральным законом от 27 ноября 2018 года </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422-ФЗ О проведении эксперимента по установлению специального налогового режима </w:t>
      </w:r>
      <w:r>
        <w:rPr>
          <w:rFonts w:hint="default" w:ascii="Times New Roman" w:hAnsi="Times New Roman" w:cs="Times New Roman"/>
          <w:sz w:val="28"/>
          <w:szCs w:val="28"/>
          <w:lang w:val="ru-RU"/>
        </w:rPr>
        <w:t>"</w:t>
      </w:r>
      <w:r>
        <w:rPr>
          <w:rFonts w:hint="default" w:ascii="Times New Roman" w:hAnsi="Times New Roman" w:cs="Times New Roman"/>
          <w:sz w:val="28"/>
          <w:szCs w:val="28"/>
        </w:rPr>
        <w:t>Налог на профессиональный доход</w:t>
      </w:r>
      <w:r>
        <w:rPr>
          <w:rFonts w:hint="default" w:ascii="Times New Roman" w:hAnsi="Times New Roman" w:cs="Times New Roman"/>
          <w:sz w:val="28"/>
          <w:szCs w:val="28"/>
        </w:rPr>
        <w:fldChar w:fldCharType="end"/>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(далее - физические лица, применяющие специальный налоговый режим), осуществляющих торговую деятельность в нестационарных торговых объектах;</w:t>
      </w:r>
    </w:p>
    <w:p w14:paraId="1DC6887C">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lang w:val="en-US"/>
        </w:rPr>
        <w:t>-</w:t>
      </w:r>
      <w:r>
        <w:rPr>
          <w:rFonts w:hint="default" w:ascii="Times New Roman" w:hAnsi="Times New Roman" w:cs="Times New Roman"/>
          <w:sz w:val="28"/>
          <w:szCs w:val="28"/>
        </w:rPr>
        <w:t>соблюдения прав и законных интересов населения.</w:t>
      </w:r>
    </w:p>
    <w:p w14:paraId="7F140F99">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Схема разрабатывается с учетом:</w:t>
      </w:r>
    </w:p>
    <w:p w14:paraId="490489A7">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необходимости обеспечения устойчивого развития территори</w:t>
      </w:r>
      <w:r>
        <w:rPr>
          <w:rFonts w:hint="default" w:ascii="Times New Roman" w:hAnsi="Times New Roman" w:cs="Times New Roman"/>
          <w:sz w:val="28"/>
          <w:szCs w:val="28"/>
          <w:lang w:val="ru-RU"/>
        </w:rPr>
        <w:t>и</w:t>
      </w:r>
      <w:r>
        <w:rPr>
          <w:rFonts w:hint="default" w:ascii="Times New Roman" w:hAnsi="Times New Roman" w:cs="Times New Roman"/>
          <w:sz w:val="28"/>
          <w:szCs w:val="28"/>
        </w:rPr>
        <w:t xml:space="preserve"> и достижения нормативов минимальной обеспеченности населения площадью торговых объектов в </w:t>
      </w:r>
      <w:r>
        <w:rPr>
          <w:rFonts w:hint="default" w:ascii="Times New Roman" w:hAnsi="Times New Roman" w:cs="Times New Roman"/>
          <w:sz w:val="28"/>
          <w:szCs w:val="28"/>
          <w:lang w:val="ru-RU"/>
        </w:rPr>
        <w:t>Анучинском муниципальном округе</w:t>
      </w:r>
      <w:r>
        <w:rPr>
          <w:rFonts w:hint="default" w:ascii="Times New Roman" w:hAnsi="Times New Roman" w:cs="Times New Roman"/>
          <w:sz w:val="28"/>
          <w:szCs w:val="28"/>
        </w:rPr>
        <w:t>;</w:t>
      </w:r>
    </w:p>
    <w:p w14:paraId="67CDA733">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размещения не менее чем шестидесяти процентов нестационарных торговых объектов, используемых субъектами малого и среднего предпринимательства, осуществляющими торговую деятельность, от общего количества нестационарных торговых объектов;</w:t>
      </w:r>
    </w:p>
    <w:p w14:paraId="6CB533B9">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необходимости включения нестационарных торговых объектов, возведение или эксплуатация которых были начаты до утверждения указанной схемы;</w:t>
      </w:r>
    </w:p>
    <w:p w14:paraId="1D7EC44B">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заявлений юридических лиц, индивидуальных предпринимателей, физических лиц, применяющих специальный налоговый режим, имеющих намерения разместить нестационарные торговые объекты на территории </w:t>
      </w:r>
      <w:r>
        <w:rPr>
          <w:rFonts w:hint="default" w:ascii="Times New Roman" w:hAnsi="Times New Roman" w:cs="Times New Roman"/>
          <w:sz w:val="28"/>
          <w:szCs w:val="28"/>
          <w:lang w:val="ru-RU"/>
        </w:rPr>
        <w:t>Анучинского муниципального округа</w:t>
      </w:r>
      <w:r>
        <w:rPr>
          <w:rFonts w:hint="default" w:ascii="Times New Roman" w:hAnsi="Times New Roman" w:cs="Times New Roman"/>
          <w:sz w:val="28"/>
          <w:szCs w:val="28"/>
        </w:rPr>
        <w:t>;</w:t>
      </w:r>
    </w:p>
    <w:p w14:paraId="434471AC">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требований градостроительного, земельного, экологического законодательства, законодательства в сфере санитарно-эпидемиологического благополучия населения и пожарной безопасности;</w:t>
      </w:r>
    </w:p>
    <w:p w14:paraId="1EAC63EC">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размещения не менее пяти процентов муниципальных округах нестационарных торговых объектов, используемых для реализации продукции, произведенной крестьянскими (фермерскими) хозяйствами и сельскохозяйственными потребительскими кооперативами, от количества нестационарных торговых объектов, включенных в Схему, за исключением сезонного (временного) размещения.</w:t>
      </w:r>
    </w:p>
    <w:p w14:paraId="25BEB6EB">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2.3. Разработка Схемы основывается на следующих принципах:</w:t>
      </w:r>
    </w:p>
    <w:p w14:paraId="4A4F19A7">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2.3.1. Размещение нестационарных торговых объектов осуществляется:</w:t>
      </w:r>
    </w:p>
    <w:p w14:paraId="52C87D7D">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вне газонов, цветников, объектов озеленения, детских и спортивных площадок, арок зданий;</w:t>
      </w:r>
    </w:p>
    <w:p w14:paraId="4BFE0AE3">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в охранных зонах инженерных коммуникаций - с учетом требований действующего законодательства.</w:t>
      </w:r>
    </w:p>
    <w:p w14:paraId="10123C3A">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2.3.2. Обеспечение свободного движения пешеходов и доступа потребителей к объектам торговли, в том числе обеспечения беспрепятственного доступа инвалидов к этим объектам, беспрепятственного проезда спецтранспорта при чрезвычайных ситуациях;</w:t>
      </w:r>
    </w:p>
    <w:p w14:paraId="00C0A273">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2.3.3. Исключение возможности ухудшения условий проживания и отдыха населения в результате размещения нестационарных торговых объектов;</w:t>
      </w:r>
    </w:p>
    <w:p w14:paraId="3FD3F58C">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2.3.4. Соблюдение внешнего архитектурного облика сложившейся застройки.</w:t>
      </w:r>
    </w:p>
    <w:p w14:paraId="33C0E2ED">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2.4. В Схеме указывает</w:t>
      </w:r>
      <w:r>
        <w:rPr>
          <w:rFonts w:hint="default" w:ascii="Times New Roman" w:hAnsi="Times New Roman" w:cs="Times New Roman"/>
          <w:sz w:val="28"/>
          <w:szCs w:val="28"/>
          <w:lang w:val="ru-RU"/>
        </w:rPr>
        <w:t>ся</w:t>
      </w:r>
      <w:r>
        <w:rPr>
          <w:rFonts w:hint="default" w:ascii="Times New Roman" w:hAnsi="Times New Roman" w:cs="Times New Roman"/>
          <w:sz w:val="28"/>
          <w:szCs w:val="28"/>
        </w:rPr>
        <w:t>:</w:t>
      </w:r>
    </w:p>
    <w:p w14:paraId="1F914F09">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место размещения нестационарного торгового объекта (адресные ориентиры);</w:t>
      </w:r>
    </w:p>
    <w:p w14:paraId="2C71FC16">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вид нестационарного торгового объекта;</w:t>
      </w:r>
    </w:p>
    <w:p w14:paraId="427F6CC8">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периоды размещения нестационарного торгового объекта (для сезонного (временного) размещения);</w:t>
      </w:r>
    </w:p>
    <w:p w14:paraId="33FD3830">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специализация нестационарного торгового объекта;</w:t>
      </w:r>
    </w:p>
    <w:p w14:paraId="1EA4C6AC">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площадь нестационарного торгового объекта (кв. м);</w:t>
      </w:r>
    </w:p>
    <w:p w14:paraId="2223EBA1">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площадь земельного участка для размещения нестационарных торговых объектов (кв. м);</w:t>
      </w:r>
    </w:p>
    <w:p w14:paraId="37AE77A2">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информация о свободных и занятых местах размещения нестационарных торговых объектов (в примечании);</w:t>
      </w:r>
    </w:p>
    <w:p w14:paraId="030D47F3">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сведения о хозяйствующих субъектах: наименование юридического лица и индивидуальный номер налогоплательщика (далее - ИНН); фамилия, имя, отчество (при наличии) индивидуального предпринимателя, физического лица, применяющего специальный налоговый режим, и ИНН (за исключением нестационарных торговых объектов, осуществляющих сезонные работы);</w:t>
      </w:r>
    </w:p>
    <w:p w14:paraId="4EA0B6DB">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координаты характерных точек границ земельного участка, занятого нестационарным торговым объектом в местной системе координат МСК-25.</w:t>
      </w:r>
    </w:p>
    <w:p w14:paraId="314A4FA1">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 xml:space="preserve">Координаты характерных точек границ земельного участка, занятого нестационарным торговым объектом в местной системе координат МСК-25, установленные до вступления в силу настоящего абзаца, приводятся </w:t>
      </w:r>
      <w:r>
        <w:rPr>
          <w:rFonts w:hint="default" w:ascii="Times New Roman" w:hAnsi="Times New Roman" w:cs="Times New Roman"/>
          <w:sz w:val="28"/>
          <w:szCs w:val="28"/>
          <w:lang w:val="ru-RU"/>
        </w:rPr>
        <w:t>уполномоченным органом</w:t>
      </w:r>
      <w:r>
        <w:rPr>
          <w:rFonts w:hint="default" w:ascii="Times New Roman" w:hAnsi="Times New Roman" w:cs="Times New Roman"/>
          <w:sz w:val="28"/>
          <w:szCs w:val="28"/>
        </w:rPr>
        <w:t xml:space="preserve"> в соответствие с фактическим расположением нестационарного торгового объекта.</w:t>
      </w:r>
    </w:p>
    <w:p w14:paraId="6F45F3ED">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Определение координат характерных точек границ земельного участка, занятого нестационарным торговым объектом в местной системе координат МСК-25, осуществл</w:t>
      </w:r>
      <w:r>
        <w:rPr>
          <w:rFonts w:hint="default" w:ascii="Times New Roman" w:hAnsi="Times New Roman" w:cs="Times New Roman"/>
          <w:sz w:val="28"/>
          <w:szCs w:val="28"/>
          <w:lang w:val="ru-RU"/>
        </w:rPr>
        <w:t xml:space="preserve">яется отделом имущественных и земельных отношений </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управления градостроительных, имущественных и земельных отношений администрации Анучинского муниципального округа</w:t>
      </w:r>
      <w:r>
        <w:rPr>
          <w:rFonts w:hint="default" w:ascii="Times New Roman" w:hAnsi="Times New Roman" w:cs="Times New Roman"/>
          <w:sz w:val="28"/>
          <w:szCs w:val="28"/>
        </w:rPr>
        <w:t xml:space="preserve"> по согласованию с хозяйствующим субъектом, разместившим нестационарный торговый объект и внесенным в Схему.</w:t>
      </w:r>
    </w:p>
    <w:p w14:paraId="23685657">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Обязанность органов местного самоуправления по утверждению Схемы в форме картографического материала возникает с 1 июля 2021 года.</w:t>
      </w:r>
    </w:p>
    <w:p w14:paraId="0DE0EF25">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 xml:space="preserve">2.5. Схема утверждается </w:t>
      </w:r>
      <w:r>
        <w:rPr>
          <w:rFonts w:hint="default" w:ascii="Times New Roman" w:hAnsi="Times New Roman" w:cs="Times New Roman"/>
          <w:sz w:val="28"/>
          <w:szCs w:val="28"/>
          <w:lang w:val="ru-RU"/>
        </w:rPr>
        <w:t>администрацией Анучинского муниципального округа</w:t>
      </w:r>
      <w:r>
        <w:rPr>
          <w:rFonts w:hint="default" w:ascii="Times New Roman" w:hAnsi="Times New Roman" w:cs="Times New Roman"/>
          <w:sz w:val="28"/>
          <w:szCs w:val="28"/>
        </w:rPr>
        <w:t xml:space="preserve"> в табличной форме и в форме картографического материала с отображением мест размещения нестационарных торговых объектов, с указанием координат характерных точек границ земельных участков, занятых указанными объектами в местной системе координат МСК-25.</w:t>
      </w:r>
    </w:p>
    <w:p w14:paraId="5366A32D">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Картографический материал является неотъемлемой частью Схемы, в котором содержится:</w:t>
      </w:r>
    </w:p>
    <w:p w14:paraId="523D4BA8">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место размещения нестационарного торгового объекта (адресные ориентиры);</w:t>
      </w:r>
    </w:p>
    <w:p w14:paraId="6751932E">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информация о свободных и занятых местах размещения нестационарных торговых объектов (в примечании);</w:t>
      </w:r>
    </w:p>
    <w:p w14:paraId="49542377">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границы земельного участка, занятого нестационарным торговым объектом с указанием координат характерных точек в местной системе координат МСК-25;</w:t>
      </w:r>
    </w:p>
    <w:p w14:paraId="7E254ED6">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границы земельного участка для размещения нестационарных торговых объектов.</w:t>
      </w:r>
    </w:p>
    <w:p w14:paraId="53DD060A">
      <w:pPr>
        <w:numPr>
          <w:ilvl w:val="0"/>
          <w:numId w:val="0"/>
        </w:numPr>
        <w:spacing w:line="240" w:lineRule="auto"/>
        <w:ind w:leftChars="0"/>
        <w:jc w:val="center"/>
        <w:rPr>
          <w:rFonts w:hint="default" w:ascii="Times New Roman" w:hAnsi="Times New Roman" w:cs="Times New Roman"/>
          <w:b/>
          <w:bCs/>
          <w:sz w:val="28"/>
          <w:szCs w:val="28"/>
          <w:vertAlign w:val="baseline"/>
        </w:rPr>
      </w:pPr>
      <w:r>
        <w:rPr>
          <w:rFonts w:hint="default" w:ascii="Times New Roman" w:hAnsi="Times New Roman" w:cs="Times New Roman"/>
          <w:b/>
          <w:bCs/>
          <w:sz w:val="28"/>
          <w:szCs w:val="28"/>
          <w:vertAlign w:val="baseline"/>
          <w:lang w:val="ru-RU"/>
        </w:rPr>
        <w:t xml:space="preserve">3. </w:t>
      </w:r>
      <w:r>
        <w:rPr>
          <w:rFonts w:hint="default" w:ascii="Times New Roman" w:hAnsi="Times New Roman" w:cs="Times New Roman"/>
          <w:b/>
          <w:bCs/>
          <w:sz w:val="28"/>
          <w:szCs w:val="28"/>
          <w:vertAlign w:val="baseline"/>
        </w:rPr>
        <w:t>Требования к порядку разработки и утверждения</w:t>
      </w:r>
    </w:p>
    <w:p w14:paraId="48C79C17">
      <w:pPr>
        <w:numPr>
          <w:ilvl w:val="0"/>
          <w:numId w:val="0"/>
        </w:numPr>
        <w:spacing w:line="240" w:lineRule="auto"/>
        <w:ind w:leftChars="0" w:firstLine="1261" w:firstLineChars="450"/>
        <w:jc w:val="both"/>
        <w:rPr>
          <w:rFonts w:hint="default" w:ascii="Times New Roman" w:hAnsi="Times New Roman" w:cs="Times New Roman"/>
          <w:b/>
          <w:bCs/>
          <w:sz w:val="28"/>
          <w:szCs w:val="28"/>
        </w:rPr>
      </w:pPr>
      <w:r>
        <w:rPr>
          <w:rFonts w:hint="default" w:ascii="Times New Roman" w:hAnsi="Times New Roman" w:cs="Times New Roman"/>
          <w:b/>
          <w:bCs/>
          <w:sz w:val="28"/>
          <w:szCs w:val="28"/>
          <w:vertAlign w:val="baseline"/>
        </w:rPr>
        <w:t xml:space="preserve">схемы размещения </w:t>
      </w:r>
      <w:r>
        <w:rPr>
          <w:rFonts w:hint="default" w:ascii="Times New Roman" w:hAnsi="Times New Roman" w:cs="Times New Roman"/>
          <w:b/>
          <w:bCs/>
          <w:sz w:val="28"/>
          <w:szCs w:val="28"/>
        </w:rPr>
        <w:t>нестационарных торговых объектов</w:t>
      </w:r>
    </w:p>
    <w:p w14:paraId="3B06F553">
      <w:pPr>
        <w:numPr>
          <w:ilvl w:val="0"/>
          <w:numId w:val="0"/>
        </w:numPr>
        <w:spacing w:line="240" w:lineRule="auto"/>
        <w:ind w:leftChars="0"/>
        <w:jc w:val="both"/>
        <w:rPr>
          <w:rFonts w:hint="default" w:ascii="Times New Roman" w:hAnsi="Times New Roman" w:cs="Times New Roman"/>
          <w:b/>
          <w:bCs/>
          <w:sz w:val="28"/>
          <w:szCs w:val="28"/>
        </w:rPr>
      </w:pPr>
    </w:p>
    <w:p w14:paraId="22E06548">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 xml:space="preserve">3.1. </w:t>
      </w:r>
      <w:r>
        <w:rPr>
          <w:rFonts w:hint="default" w:ascii="Times New Roman" w:hAnsi="Times New Roman" w:cs="Times New Roman"/>
          <w:sz w:val="28"/>
          <w:szCs w:val="28"/>
          <w:lang w:val="ru-RU"/>
        </w:rPr>
        <w:t>У</w:t>
      </w:r>
      <w:r>
        <w:rPr>
          <w:rFonts w:hint="default" w:ascii="Times New Roman" w:hAnsi="Times New Roman" w:cs="Times New Roman"/>
          <w:sz w:val="28"/>
          <w:szCs w:val="28"/>
        </w:rPr>
        <w:t xml:space="preserve">полномоченный орган </w:t>
      </w:r>
      <w:r>
        <w:rPr>
          <w:rFonts w:hint="default" w:ascii="Times New Roman" w:hAnsi="Times New Roman" w:cs="Times New Roman"/>
          <w:sz w:val="28"/>
          <w:szCs w:val="28"/>
          <w:lang w:val="ru-RU"/>
        </w:rPr>
        <w:t xml:space="preserve">совместно с отделом имущественных и земельных отношений </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управления градостроительных, имущественных и земельных отношений администрации Анучинского муниципального округа </w:t>
      </w:r>
      <w:r>
        <w:rPr>
          <w:rFonts w:hint="default" w:ascii="Times New Roman" w:hAnsi="Times New Roman" w:cs="Times New Roman"/>
          <w:sz w:val="28"/>
          <w:szCs w:val="28"/>
        </w:rPr>
        <w:t>разрабатывает и формирует Схему, с учетом существующего размещения нестационарных торговых объектов, по форме согласно приложению к настоящему Порядку, и утверждает условия размещения нестационарных торговых объектов.</w:t>
      </w:r>
    </w:p>
    <w:p w14:paraId="4C486E4B">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Муниципальным правовым акт</w:t>
      </w:r>
      <w:r>
        <w:rPr>
          <w:rFonts w:hint="default" w:ascii="Times New Roman" w:hAnsi="Times New Roman" w:cs="Times New Roman"/>
          <w:sz w:val="28"/>
          <w:szCs w:val="28"/>
          <w:lang w:val="ru-RU"/>
        </w:rPr>
        <w:t>ом</w:t>
      </w:r>
      <w:r>
        <w:rPr>
          <w:rFonts w:hint="default" w:ascii="Times New Roman" w:hAnsi="Times New Roman" w:cs="Times New Roman"/>
          <w:sz w:val="28"/>
          <w:szCs w:val="28"/>
        </w:rPr>
        <w:t xml:space="preserve"> для крестьянских фермерских хозяйств и организаций потребительской кооперации, осуществляющих производство и реализацию сельскохозяйственной продукции, которые являются субъектами малого и среднего предпринимательства, могут быть предусмотрены льготные, в том числе на безвозмездной основе, условия размещения нестационарных торговых объектов.</w:t>
      </w:r>
    </w:p>
    <w:p w14:paraId="2A9FD699">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3.2. Проект Схемы до ее утверждения подлежит согласованию:</w:t>
      </w:r>
    </w:p>
    <w:p w14:paraId="4314A4E7">
      <w:pPr>
        <w:spacing w:line="360" w:lineRule="auto"/>
        <w:ind w:firstLine="560" w:firstLineChars="200"/>
        <w:rPr>
          <w:rFonts w:hint="default" w:ascii="Times New Roman" w:hAnsi="Times New Roman" w:cs="Times New Roman"/>
          <w:sz w:val="28"/>
          <w:szCs w:val="28"/>
        </w:rPr>
      </w:pPr>
      <w:r>
        <w:rPr>
          <w:rFonts w:hint="default" w:ascii="Times New Roman" w:hAnsi="Times New Roman" w:cs="Times New Roman"/>
          <w:sz w:val="28"/>
          <w:szCs w:val="28"/>
          <w:lang w:val="ru-RU"/>
        </w:rPr>
        <w:t>с структурными подразделениями администрации Анучинского муниципального округа,</w:t>
      </w:r>
      <w:r>
        <w:rPr>
          <w:rFonts w:hint="default" w:ascii="Times New Roman" w:hAnsi="Times New Roman" w:cs="Times New Roman"/>
          <w:sz w:val="28"/>
          <w:szCs w:val="28"/>
        </w:rPr>
        <w:t xml:space="preserve"> уполномоченными </w:t>
      </w:r>
    </w:p>
    <w:p w14:paraId="784EACE8">
      <w:pPr>
        <w:spacing w:line="360" w:lineRule="auto"/>
        <w:ind w:firstLine="280" w:firstLineChars="100"/>
        <w:rPr>
          <w:rFonts w:hint="default" w:ascii="Times New Roman" w:hAnsi="Times New Roman" w:cs="Times New Roman"/>
          <w:sz w:val="28"/>
          <w:szCs w:val="28"/>
          <w:lang w:val="ru-RU"/>
        </w:rPr>
      </w:pPr>
      <w:r>
        <w:rPr>
          <w:rFonts w:hint="default" w:ascii="Times New Roman" w:hAnsi="Times New Roman" w:cs="Times New Roman"/>
          <w:sz w:val="28"/>
          <w:szCs w:val="28"/>
        </w:rPr>
        <w:t>в области торговли</w:t>
      </w:r>
      <w:r>
        <w:rPr>
          <w:rFonts w:hint="default" w:ascii="Times New Roman" w:hAnsi="Times New Roman" w:cs="Times New Roman"/>
          <w:sz w:val="28"/>
          <w:szCs w:val="28"/>
          <w:lang w:val="ru-RU"/>
        </w:rPr>
        <w:t xml:space="preserve">  - финансово-экономическое управление;</w:t>
      </w:r>
    </w:p>
    <w:p w14:paraId="0F7A74E8">
      <w:pPr>
        <w:spacing w:line="360" w:lineRule="auto"/>
        <w:ind w:firstLine="280" w:firstLineChars="100"/>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в области </w:t>
      </w:r>
      <w:r>
        <w:rPr>
          <w:rFonts w:hint="default" w:ascii="Times New Roman" w:hAnsi="Times New Roman" w:cs="Times New Roman"/>
          <w:sz w:val="28"/>
          <w:szCs w:val="28"/>
        </w:rPr>
        <w:t>градостроительной деятельности</w:t>
      </w:r>
      <w:r>
        <w:rPr>
          <w:rFonts w:hint="default" w:ascii="Times New Roman" w:hAnsi="Times New Roman" w:cs="Times New Roman"/>
          <w:sz w:val="28"/>
          <w:szCs w:val="28"/>
          <w:lang w:val="ru-RU"/>
        </w:rPr>
        <w:t>- отдел архитектуры и градостроительства управления градостроительных, имущественных и земельных отношений;</w:t>
      </w:r>
    </w:p>
    <w:p w14:paraId="0C8BA9B9">
      <w:pPr>
        <w:spacing w:line="360" w:lineRule="auto"/>
        <w:ind w:firstLine="420" w:firstLineChars="150"/>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в области </w:t>
      </w:r>
      <w:r>
        <w:rPr>
          <w:rFonts w:hint="default" w:ascii="Times New Roman" w:hAnsi="Times New Roman" w:cs="Times New Roman"/>
          <w:sz w:val="28"/>
          <w:szCs w:val="28"/>
        </w:rPr>
        <w:t xml:space="preserve"> благоустройства</w:t>
      </w:r>
      <w:r>
        <w:rPr>
          <w:rFonts w:hint="default" w:ascii="Times New Roman" w:hAnsi="Times New Roman" w:cs="Times New Roman"/>
          <w:sz w:val="28"/>
          <w:szCs w:val="28"/>
          <w:lang w:val="ru-RU"/>
        </w:rPr>
        <w:t xml:space="preserve"> - управление жизнеобеспечения;</w:t>
      </w:r>
    </w:p>
    <w:p w14:paraId="2E0EAF2A">
      <w:pPr>
        <w:spacing w:line="360" w:lineRule="auto"/>
        <w:ind w:firstLine="420" w:firstLineChars="150"/>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в области </w:t>
      </w:r>
      <w:r>
        <w:rPr>
          <w:rFonts w:hint="default" w:ascii="Times New Roman" w:hAnsi="Times New Roman" w:cs="Times New Roman"/>
          <w:sz w:val="28"/>
          <w:szCs w:val="28"/>
        </w:rPr>
        <w:t>использования и распоряжения земельными ресурсами</w:t>
      </w:r>
      <w:r>
        <w:rPr>
          <w:rFonts w:hint="default" w:ascii="Times New Roman" w:hAnsi="Times New Roman" w:cs="Times New Roman"/>
          <w:sz w:val="28"/>
          <w:szCs w:val="28"/>
          <w:lang w:val="ru-RU"/>
        </w:rPr>
        <w:t>- отдел имущественных и земельных отношений управления градостроительных, имущественных и земельных отношений;</w:t>
      </w:r>
    </w:p>
    <w:p w14:paraId="4AF80A71">
      <w:pPr>
        <w:spacing w:line="360" w:lineRule="auto"/>
        <w:ind w:firstLine="700" w:firstLineChars="250"/>
        <w:jc w:val="both"/>
        <w:rPr>
          <w:rFonts w:hint="default" w:ascii="Times New Roman" w:hAnsi="Times New Roman" w:cs="Times New Roman"/>
          <w:sz w:val="28"/>
          <w:szCs w:val="28"/>
        </w:rPr>
      </w:pPr>
      <w:r>
        <w:rPr>
          <w:rFonts w:hint="default" w:ascii="Times New Roman" w:hAnsi="Times New Roman" w:cs="Times New Roman"/>
          <w:sz w:val="28"/>
          <w:szCs w:val="28"/>
        </w:rPr>
        <w:t>органом исполнительной власти Приморского края в области охраны объектов культурного наследия (если Схема предусматривает размещение нестационарных торговых объектов на территории зон охраны объектов культурного наследия);</w:t>
      </w:r>
    </w:p>
    <w:p w14:paraId="2D8F5500">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органом государственной власти Приморского края в области земельных отношений (если Схема предусматривает размещение нестационарных торговых объектов на земельных участках, находящихся в собственности Приморского края);</w:t>
      </w:r>
    </w:p>
    <w:p w14:paraId="0AFBAC2E">
      <w:pPr>
        <w:spacing w:line="360" w:lineRule="auto"/>
        <w:ind w:firstLine="420" w:firstLineChars="150"/>
        <w:jc w:val="both"/>
        <w:rPr>
          <w:rFonts w:hint="default" w:ascii="Times New Roman" w:hAnsi="Times New Roman" w:cs="Times New Roman"/>
          <w:sz w:val="28"/>
          <w:szCs w:val="28"/>
          <w:lang w:val="ru-RU"/>
        </w:rPr>
      </w:pPr>
      <w:r>
        <w:rPr>
          <w:rFonts w:hint="default" w:ascii="Times New Roman" w:hAnsi="Times New Roman" w:cs="Times New Roman"/>
          <w:sz w:val="28"/>
          <w:szCs w:val="28"/>
        </w:rPr>
        <w:t>координационным или совещательным органом в области развития малого и среднего предпринимательства</w:t>
      </w:r>
      <w:r>
        <w:rPr>
          <w:rFonts w:hint="default" w:ascii="Times New Roman" w:hAnsi="Times New Roman" w:cs="Times New Roman"/>
          <w:sz w:val="28"/>
          <w:szCs w:val="28"/>
          <w:lang w:val="ru-RU"/>
        </w:rPr>
        <w:t xml:space="preserve"> Анучинского муниципального округа - </w:t>
      </w:r>
      <w:r>
        <w:rPr>
          <w:rFonts w:hint="default" w:ascii="Times New Roman" w:hAnsi="Times New Roman" w:cs="Times New Roman"/>
          <w:sz w:val="28"/>
          <w:szCs w:val="28"/>
        </w:rPr>
        <w:t>Совет по инвестициям и развитию малого и среднего предпринимательства при главе Анучинского муниципального округа</w:t>
      </w:r>
      <w:r>
        <w:rPr>
          <w:rFonts w:hint="default" w:ascii="Times New Roman" w:hAnsi="Times New Roman" w:cs="Times New Roman"/>
          <w:sz w:val="28"/>
          <w:szCs w:val="28"/>
          <w:lang w:val="ru-RU"/>
        </w:rPr>
        <w:t xml:space="preserve"> Приморского края.</w:t>
      </w:r>
    </w:p>
    <w:p w14:paraId="48750BCB">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3.3. Органы исполнительной власти Приморского края, органы местного самоуправления, координационные или совещательные органы в области развития малого и среднего предпринимательства, созданные при органах местного самоуправления, указанные в настоящем Порядке, рассматривают представленный им проект Схемы в срок, не превышающий 30 дней со дня его поступления и по итогам рассмотрения направляют в уполномоченный орган свои предложения, замечания или принимают решение о согласовании проекта Схемы. В случае, если решение о согласовании или несогласовании проекта Схемы не поступил в установленный срок, проект Схемы считается согласованным данным органом.</w:t>
      </w:r>
    </w:p>
    <w:p w14:paraId="1C849684">
      <w:pPr>
        <w:spacing w:line="360" w:lineRule="auto"/>
        <w:ind w:firstLine="700" w:firstLineChars="250"/>
        <w:jc w:val="both"/>
        <w:rPr>
          <w:rFonts w:hint="default" w:ascii="Times New Roman" w:hAnsi="Times New Roman" w:cs="Times New Roman"/>
          <w:sz w:val="28"/>
          <w:szCs w:val="28"/>
        </w:rPr>
      </w:pPr>
      <w:r>
        <w:rPr>
          <w:rFonts w:hint="default" w:ascii="Times New Roman" w:hAnsi="Times New Roman" w:cs="Times New Roman"/>
          <w:sz w:val="28"/>
          <w:szCs w:val="28"/>
        </w:rPr>
        <w:t>3.4. Поступившие замечания, предложения рассматриваются уполномоченным органом в течение 10 дней со дня их поступления.</w:t>
      </w:r>
    </w:p>
    <w:p w14:paraId="09DFD586">
      <w:pPr>
        <w:spacing w:line="360" w:lineRule="auto"/>
        <w:ind w:firstLine="700" w:firstLineChars="250"/>
        <w:jc w:val="both"/>
        <w:rPr>
          <w:rFonts w:hint="default" w:ascii="Times New Roman" w:hAnsi="Times New Roman" w:cs="Times New Roman"/>
          <w:sz w:val="28"/>
          <w:szCs w:val="28"/>
        </w:rPr>
      </w:pPr>
      <w:r>
        <w:rPr>
          <w:rFonts w:hint="default" w:ascii="Times New Roman" w:hAnsi="Times New Roman" w:cs="Times New Roman"/>
          <w:sz w:val="28"/>
          <w:szCs w:val="28"/>
        </w:rPr>
        <w:t>3.5. Проект Схемы, измененный с учетом поступивших замечаний, предложений, подлежит повторному рассмотрению или согласованию с органами, представившими замечания, предложения. Органы исполнительной власти Приморского края, органы местного самоуправления, координационные или совещательные органы в области развития малого и среднего предпринимательства, созданные при органах местного самоуправления, указанные в настоящем Порядке, рассматривают представленный им доработанный проект Схемы в срок, не превышающий 10 дней со дня его поступления и по итогам рассмотрения направляют в уполномоченный орган свои предложения, замечания или принимают решение о согласовании проекта Схемы. В случае, если решение о согласовании или несогласовании проекта Схемы не поступил в установленный срок, проект Схемы считается согласованным данным органом.</w:t>
      </w:r>
    </w:p>
    <w:p w14:paraId="1C7DAA5C">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 xml:space="preserve">3.6. Разработанная Схема и вносимые в нее изменения утверждается муниципальным правовым актом в порядке, установленном уставом </w:t>
      </w:r>
      <w:r>
        <w:rPr>
          <w:rFonts w:hint="default" w:ascii="Times New Roman" w:hAnsi="Times New Roman" w:cs="Times New Roman"/>
          <w:sz w:val="28"/>
          <w:szCs w:val="28"/>
          <w:lang w:val="ru-RU"/>
        </w:rPr>
        <w:t>Анучинского муниципального округа Приморского края.</w:t>
      </w:r>
    </w:p>
    <w:p w14:paraId="47892F38">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3.7. В Схему включаются все размещенные на законных основаниях нестационарные торговые объекты и нестационарные торговые объекты, планируемые к размещению. Утверждение Схемы, равно как и внесение в нее изменений, не может служить основанием для пересмотра мест размещения нестационарных торговых объектов, строительство, реконструкция и эксплуатация которых были начаты до утверждения указанной Схемы.</w:t>
      </w:r>
    </w:p>
    <w:p w14:paraId="7608DDD7">
      <w:pPr>
        <w:spacing w:line="360" w:lineRule="auto"/>
        <w:ind w:firstLine="420" w:firstLineChars="150"/>
        <w:jc w:val="both"/>
        <w:rPr>
          <w:rFonts w:hint="default" w:ascii="Times New Roman" w:hAnsi="Times New Roman" w:cs="Times New Roman"/>
          <w:sz w:val="28"/>
          <w:szCs w:val="28"/>
          <w:lang w:val="ru-RU"/>
        </w:rPr>
      </w:pPr>
      <w:r>
        <w:rPr>
          <w:rFonts w:hint="default" w:ascii="Times New Roman" w:hAnsi="Times New Roman" w:cs="Times New Roman"/>
          <w:sz w:val="28"/>
          <w:szCs w:val="28"/>
        </w:rPr>
        <w:t>3.8. Учет нестационарных торговых объектов и их размещение в соответствии с утвержденной Схемой, осуществля</w:t>
      </w:r>
      <w:r>
        <w:rPr>
          <w:rFonts w:hint="default" w:ascii="Times New Roman" w:hAnsi="Times New Roman" w:cs="Times New Roman"/>
          <w:sz w:val="28"/>
          <w:szCs w:val="28"/>
          <w:lang w:val="ru-RU"/>
        </w:rPr>
        <w:t>е</w:t>
      </w:r>
      <w:r>
        <w:rPr>
          <w:rFonts w:hint="default" w:ascii="Times New Roman" w:hAnsi="Times New Roman" w:cs="Times New Roman"/>
          <w:sz w:val="28"/>
          <w:szCs w:val="28"/>
        </w:rPr>
        <w:t>т</w:t>
      </w:r>
      <w:r>
        <w:rPr>
          <w:rFonts w:hint="default" w:ascii="Times New Roman" w:hAnsi="Times New Roman" w:cs="Times New Roman"/>
          <w:sz w:val="28"/>
          <w:szCs w:val="28"/>
          <w:lang w:val="ru-RU"/>
        </w:rPr>
        <w:t xml:space="preserve"> у</w:t>
      </w:r>
      <w:r>
        <w:rPr>
          <w:rFonts w:hint="default" w:ascii="Times New Roman" w:hAnsi="Times New Roman" w:cs="Times New Roman"/>
          <w:sz w:val="28"/>
          <w:szCs w:val="28"/>
        </w:rPr>
        <w:t xml:space="preserve">полномоченный орган </w:t>
      </w:r>
      <w:r>
        <w:rPr>
          <w:rFonts w:hint="default" w:ascii="Times New Roman" w:hAnsi="Times New Roman" w:cs="Times New Roman"/>
          <w:sz w:val="28"/>
          <w:szCs w:val="28"/>
          <w:lang w:val="ru-RU"/>
        </w:rPr>
        <w:t xml:space="preserve">совместно с отделом имущественных и земельных отношений </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управления градостроительных, имущественных и земельных отношений администрации Анучинского муниципального округа .</w:t>
      </w:r>
    </w:p>
    <w:p w14:paraId="71B19515">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3.9. Основанием для отказа во включении нестационарного торгового объекта в Схему являются:</w:t>
      </w:r>
    </w:p>
    <w:p w14:paraId="6AAFD393">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расположение испрашиваемого места размещения нестационарного торгового объекта на газоне, цветнике, объекте озеленения, детской, спортивной площадке, в арке здания, либо если при размещении объекта понадобится уничтожение зеленых и (или) лесных насаждений, демонтаж элементов благоустройства, малых архитектурных форм, детских, спортивных площадок;</w:t>
      </w:r>
    </w:p>
    <w:p w14:paraId="47CB66F5">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размещение нестационарного торгового объекта будет препятствовать свободному движению пешеходов (в том числе лиц с ограниченными возможностями) и доступу потребителей к объектам торговли;</w:t>
      </w:r>
    </w:p>
    <w:p w14:paraId="39EDBAA4">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размещение нестационарного торгового объекта повлечет нарушение внешнего архитектурного облика сложившейся застройки;</w:t>
      </w:r>
    </w:p>
    <w:p w14:paraId="5F1C12FF">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размещение нестационарного торгового объекта повлечет ухудшение условий проживания и отдыха населения;</w:t>
      </w:r>
    </w:p>
    <w:p w14:paraId="1D0CC90B">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размещение нестационарного торгового объекта будет препятствовать проезду спецтранспорта при чрезвычайных ситуациях;</w:t>
      </w:r>
    </w:p>
    <w:p w14:paraId="46B4489E">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размещение нестационарного торгового объекта в охранных зонах инженерных коммуникаций, если его размещение в границах таких зон с учетом требований действующего законодательства невозможно;</w:t>
      </w:r>
    </w:p>
    <w:p w14:paraId="142A7753">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размещение нестационарного торгового объекта повлечет нарушение требований градостроительного, земельного, экологического законодательства, законодательства в сфере санитарно-эпидемиологического благополучия населения и пожарной безопасности, правил благоустройства;</w:t>
      </w:r>
    </w:p>
    <w:p w14:paraId="3336F228">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расположение испрашиваемого места размещения нестационарного торгового объекта на земельном участке, предоставленном в установленном порядке другому лицу.</w:t>
      </w:r>
    </w:p>
    <w:p w14:paraId="0529F393">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Указанный перечень оснований для отказа во включении нестационарного торгового объекта в схему размещения является исчерпывающим.</w:t>
      </w:r>
    </w:p>
    <w:p w14:paraId="59187346">
      <w:pPr>
        <w:numPr>
          <w:ilvl w:val="0"/>
          <w:numId w:val="2"/>
        </w:numPr>
        <w:spacing w:line="24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Внесение изменений и дополнений в схему</w:t>
      </w:r>
    </w:p>
    <w:p w14:paraId="0C240D89">
      <w:pPr>
        <w:numPr>
          <w:ilvl w:val="0"/>
          <w:numId w:val="0"/>
        </w:numPr>
        <w:spacing w:line="240" w:lineRule="auto"/>
        <w:jc w:val="center"/>
        <w:rPr>
          <w:rFonts w:hint="default" w:ascii="Times New Roman" w:hAnsi="Times New Roman" w:cs="Times New Roman"/>
          <w:b/>
          <w:bCs/>
          <w:sz w:val="28"/>
          <w:szCs w:val="28"/>
        </w:rPr>
      </w:pPr>
      <w:r>
        <w:rPr>
          <w:rFonts w:hint="default" w:ascii="Times New Roman" w:hAnsi="Times New Roman" w:cs="Times New Roman"/>
          <w:b/>
          <w:bCs/>
          <w:sz w:val="28"/>
          <w:szCs w:val="28"/>
        </w:rPr>
        <w:t>размещения нестационарных торговых объектов</w:t>
      </w:r>
    </w:p>
    <w:p w14:paraId="2798EA39">
      <w:pPr>
        <w:numPr>
          <w:ilvl w:val="0"/>
          <w:numId w:val="0"/>
        </w:numPr>
        <w:spacing w:line="240" w:lineRule="auto"/>
        <w:jc w:val="center"/>
        <w:rPr>
          <w:rFonts w:hint="default" w:ascii="Times New Roman" w:hAnsi="Times New Roman" w:cs="Times New Roman"/>
          <w:b/>
          <w:bCs/>
          <w:sz w:val="28"/>
          <w:szCs w:val="28"/>
        </w:rPr>
      </w:pPr>
    </w:p>
    <w:p w14:paraId="0A072C98">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4.1. Схема носит бессрочный характер и формируется, изменяется и дополняется в следующих целях:</w:t>
      </w:r>
    </w:p>
    <w:p w14:paraId="1E5AB345">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развития субъектов малого и среднего предпринимательства в сфере торговли и производства товаров народного потребления;</w:t>
      </w:r>
    </w:p>
    <w:p w14:paraId="52284D87">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увеличения конкуренции между хозяйствующими субъектами в сфере торговли;</w:t>
      </w:r>
    </w:p>
    <w:p w14:paraId="0C45771B">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расширения каналов сбыта продукции сельскохозяйственных производителей;</w:t>
      </w:r>
    </w:p>
    <w:p w14:paraId="5A8414E1">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достижения максимального удобства расположения нестационарных торговых объектов для потребителей;</w:t>
      </w:r>
    </w:p>
    <w:p w14:paraId="1F47C7DB">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создания условий для улучшения организации и качества торгового обслуживания населения и обеспечения доступности товаров для населения;</w:t>
      </w:r>
    </w:p>
    <w:p w14:paraId="244A7039">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увеличения количества торговых объектов, реализующих сельскохозяйственную продукцию и продукты питания, а также объектов иных социально значимых специализаций.</w:t>
      </w:r>
    </w:p>
    <w:p w14:paraId="6040BE1E">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Использование схемы размещения для регулирования количества и видов специализаций нестационарных торговых объектов не допускается.</w:t>
      </w:r>
    </w:p>
    <w:p w14:paraId="34A5F957">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Не допускается одновременное исключение из Схемы хозяйствующего субъекта и места размещения нестационарного торгового объекта.</w:t>
      </w:r>
    </w:p>
    <w:p w14:paraId="1DDA70D3">
      <w:pPr>
        <w:spacing w:line="360" w:lineRule="auto"/>
        <w:ind w:firstLine="420" w:firstLineChars="150"/>
        <w:rPr>
          <w:rFonts w:hint="default" w:ascii="Times New Roman" w:hAnsi="Times New Roman" w:cs="Times New Roman"/>
          <w:sz w:val="28"/>
          <w:szCs w:val="28"/>
        </w:rPr>
      </w:pPr>
      <w:r>
        <w:rPr>
          <w:rFonts w:hint="default" w:ascii="Times New Roman" w:hAnsi="Times New Roman" w:cs="Times New Roman"/>
          <w:sz w:val="28"/>
          <w:szCs w:val="28"/>
        </w:rPr>
        <w:t>4.2. Исключение места размещения нестационарного торгового объекта из</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Схемы допускается в следующих случаях:</w:t>
      </w:r>
    </w:p>
    <w:p w14:paraId="233BCAC5">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внесение изменений в документы, определяющие направления социально-экономического развития муниципального образования;</w:t>
      </w:r>
    </w:p>
    <w:p w14:paraId="066B3215">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ремонт и реконструкция автомобильных дорог, повлекшие необходимость переноса нестационарного торгового объекта;</w:t>
      </w:r>
    </w:p>
    <w:p w14:paraId="4E746068">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отсутствия в течение одного года с даты внесения в Схему сведений о наличии свободного места заявлений хозяйствующих субъектов о включении их в Схему (в отношении такого места);</w:t>
      </w:r>
    </w:p>
    <w:p w14:paraId="387E10DE">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по заявлению хозяйствующего субъекта, включенного в Схему, в случае заключения хозяйствующим субъектом, уже включенным в Схему, договора аренды в отношении земельного участка, на котором он размещен в Схеме.</w:t>
      </w:r>
    </w:p>
    <w:p w14:paraId="7E986C76">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Исключение места размещения нестационарного торгового объекта из Схемы по причине, указанной в абзацах втором, третьем настоящего пункта, допускается только после предоставления юридическому лицу, индивидуальному предпринимателю, физическому лицу, применяющему специальный налоговый режим, осуществляющему торговую деятельность, иного места размещения нестационарного торгового объекта, равноценного по критериям территориальной и пешеходной доступности, привлекательности для осуществления торговой деятельности соответствующими товарами, платы за размещение (далее - компенсационное место).</w:t>
      </w:r>
    </w:p>
    <w:p w14:paraId="3CF198B0">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4.2.1. Предоставление компенсационного места осуществляется без проведения торгов. Компенсационное место предоставляется:</w:t>
      </w:r>
    </w:p>
    <w:p w14:paraId="48C83002">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в месте, указанном хозяйствующим субъектом из числа свободных и включенных в Схему, либо в месте, не включенным в Схему. В случае, если хозяйствующим субъектом предложено место, не включенное в Схему, уполномоченным органом осуществляется включение данного места в Схему в порядке, установленном действующим законодательством, с соблюдением требований, предъявляемых к размещению нестационарных торговых объектов;</w:t>
      </w:r>
    </w:p>
    <w:p w14:paraId="275B4E4C">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в месте, предложенном уполномоченным органом из числа свободных и включенных в Схему, либо в месте, не включенном в Схему. В случае, если предложено место, не включенное в Схему, уполномоченным органом осуществляется включение данного места в Схему в порядке, установленном действующим законодательством, с соблюдением требований, предъявляемых к размещению нестационарных торговых объектов (при условии, что от хозяйствующего субъекта в течение трех месяцев с даты направления ему уведомления об исключении из Схемы занимаемого им места размещения нестационарного торгового объекта не поступили предложения, предусмотренные абзацем вторым настоящего пункта).</w:t>
      </w:r>
    </w:p>
    <w:p w14:paraId="560E2F1A">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Срок подбора компенсационного места не может превышать 6 месяцев с момента направления уведомления. На период рассмотрения заявления о внесении изменений в Схему течение срока приостанавливается.</w:t>
      </w:r>
    </w:p>
    <w:p w14:paraId="6DF4F940">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4.2.2. Юридическое лицо, индивидуальный предприниматель, физическое лицо, применяющее специальный налоговый режим, осуществляющий торговую деятельность, вправе отказаться от предлагаемых ему компенсационных мест не более трех раз. В случае отказа от компенсационного места более трех раз, исключение нестационарного торгового объекта допускается без предоставления компенсационного места.</w:t>
      </w:r>
    </w:p>
    <w:p w14:paraId="6CCD533A">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Подключение коммунальных сетей, кадастровые работы, затраты на перемещение нестационарного торгового объекта на компенсационное место осуществляются за счет средств местного бюджета.</w:t>
      </w:r>
    </w:p>
    <w:p w14:paraId="5B333155">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4.2.3. Юридическое лицо, индивидуальный предприниматель, физическое лицо, применяющее специальный налоговый режим, включенные в Схему, подлежит исключению из нее в случаях:</w:t>
      </w:r>
    </w:p>
    <w:p w14:paraId="736FD381">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прекращения деятельности хозяйствующего субъекта и внесения соответствующей записи в единый государственный реестр юридических лиц либо индивидуальных предпринимателей;</w:t>
      </w:r>
    </w:p>
    <w:p w14:paraId="08FF37CD">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по заявлению хозяйствующего субъекта о добровольном исключении его из Схемы;</w:t>
      </w:r>
    </w:p>
    <w:p w14:paraId="5864F98C">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в случае отказа от компенсационного места хозяйствующего субъекта более трех раз;</w:t>
      </w:r>
    </w:p>
    <w:p w14:paraId="5AAD72A2">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 xml:space="preserve">повторного (два раза в течение одного календарного года) нарушения законодательства Российской Федерации и Приморского края, после вступления в установленном порядке в законную силу решения уполномоченного органа и (или) суда о привлечении хозяйствующего субъекта к административной ответственности, при условии неустранения административного нарушения, связанного: с нарушением санитарного, ветеринарного, налогового, пожарного законодательства Российской Федерации; </w:t>
      </w:r>
    </w:p>
    <w:p w14:paraId="64FA1E6F">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с размещением нестационарных торговых объектов с нарушением Схемы; в случае реализации в нестационарном торговом объекте товаров, реализация которых запрещена действующим законодательством Российской Федерации;</w:t>
      </w:r>
    </w:p>
    <w:p w14:paraId="3A3B495A">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передачи по любому законному основанию третьему лицу права на владение и (или) пользование нестационарным торговым объектом, включенным в Схему", в том числе в аренду;</w:t>
      </w:r>
    </w:p>
    <w:p w14:paraId="30E2B36A">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несоблюдения условий договоров (соглашений) о размещении нестационарных торговых объектов, заключенных хозяйствующим субъектом с уполномоченным органом местного самоуправления;</w:t>
      </w:r>
    </w:p>
    <w:p w14:paraId="774C7DC2">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незаключения договора (соглашения) о включении хозяйствующего субъекта в Схему и (или) договора (соглашения) о размещении нестационарного торгового объекта в течение месяца со дня вступления в законную силу правового акта органа местного самоуправления о включении хозяйствующего субъекта в Схему.</w:t>
      </w:r>
    </w:p>
    <w:p w14:paraId="3D91142B">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4.</w:t>
      </w:r>
      <w:r>
        <w:rPr>
          <w:rFonts w:hint="default" w:ascii="Times New Roman" w:hAnsi="Times New Roman" w:cs="Times New Roman"/>
          <w:sz w:val="28"/>
          <w:szCs w:val="28"/>
          <w:lang w:val="ru-RU"/>
        </w:rPr>
        <w:t>3</w:t>
      </w:r>
      <w:r>
        <w:rPr>
          <w:rFonts w:hint="default" w:ascii="Times New Roman" w:hAnsi="Times New Roman" w:cs="Times New Roman"/>
          <w:sz w:val="28"/>
          <w:szCs w:val="28"/>
        </w:rPr>
        <w:t>. Изменения и дополнения в Схему вносятся:</w:t>
      </w:r>
    </w:p>
    <w:p w14:paraId="383C0F76">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по инициатив</w:t>
      </w:r>
      <w:r>
        <w:rPr>
          <w:rFonts w:hint="default" w:ascii="Times New Roman" w:hAnsi="Times New Roman" w:cs="Times New Roman"/>
          <w:sz w:val="28"/>
          <w:szCs w:val="28"/>
          <w:lang w:val="ru-RU"/>
        </w:rPr>
        <w:t>е администрации Анучинского муниципального округа</w:t>
      </w:r>
      <w:r>
        <w:rPr>
          <w:rFonts w:hint="default" w:ascii="Times New Roman" w:hAnsi="Times New Roman" w:cs="Times New Roman"/>
          <w:sz w:val="28"/>
          <w:szCs w:val="28"/>
        </w:rPr>
        <w:t>;</w:t>
      </w:r>
    </w:p>
    <w:p w14:paraId="50C932FC">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по инициативе Уполномоченного по защите прав предпринимателей в Приморском крае в рамках рассмотрения обращений субъектов предпринимательской деятельности;</w:t>
      </w:r>
    </w:p>
    <w:p w14:paraId="1DB12DE0">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на основании предложений координационных или совещательных органов в области развития малого и среднего предпринимательства, созданных при органах местного самоуправления, на основании предложений юридических лиц, индивидуальных предпринимателей, физических лиц, применяющих специальный налоговый режим;</w:t>
      </w:r>
    </w:p>
    <w:p w14:paraId="5B0D06A3">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при изменении сведений о конкретном нестационарном торговом объекте, включенном в Схему.</w:t>
      </w:r>
    </w:p>
    <w:p w14:paraId="47DDC022">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4.</w:t>
      </w:r>
      <w:r>
        <w:rPr>
          <w:rFonts w:hint="default" w:ascii="Times New Roman" w:hAnsi="Times New Roman" w:cs="Times New Roman"/>
          <w:sz w:val="28"/>
          <w:szCs w:val="28"/>
          <w:lang w:val="ru-RU"/>
        </w:rPr>
        <w:t>4</w:t>
      </w:r>
      <w:r>
        <w:rPr>
          <w:rFonts w:hint="default" w:ascii="Times New Roman" w:hAnsi="Times New Roman" w:cs="Times New Roman"/>
          <w:sz w:val="28"/>
          <w:szCs w:val="28"/>
        </w:rPr>
        <w:t>. Внесение изменений в Схему, в части нестационарных торговых объектов, расположенных на земельных участках, в зданиях, строениях, сооружениях, находящихся в муниципальной собственности, осуществляется в порядке, предусмотренном разделами 3 и 4 настоящего Порядка.</w:t>
      </w:r>
    </w:p>
    <w:p w14:paraId="275B2929">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4.</w:t>
      </w:r>
      <w:r>
        <w:rPr>
          <w:rFonts w:hint="default" w:ascii="Times New Roman" w:hAnsi="Times New Roman" w:cs="Times New Roman"/>
          <w:sz w:val="28"/>
          <w:szCs w:val="28"/>
          <w:lang w:val="ru-RU"/>
        </w:rPr>
        <w:t>5</w:t>
      </w:r>
      <w:r>
        <w:rPr>
          <w:rFonts w:hint="default" w:ascii="Times New Roman" w:hAnsi="Times New Roman" w:cs="Times New Roman"/>
          <w:sz w:val="28"/>
          <w:szCs w:val="28"/>
        </w:rPr>
        <w:t>. Внесение изменений в Схему в части нестационарных торговых объектов, расположенных на земельных участках, в зданиях, строениях, сооружениях, находящихся в государственной собственности, осуществляется в порядке, установленном Правительством Российской Федерации.</w:t>
      </w:r>
    </w:p>
    <w:p w14:paraId="4A702E84">
      <w:pPr>
        <w:spacing w:line="360" w:lineRule="auto"/>
        <w:ind w:firstLine="420" w:firstLineChars="150"/>
        <w:jc w:val="both"/>
        <w:rPr>
          <w:rFonts w:hint="default" w:ascii="Times New Roman" w:hAnsi="Times New Roman" w:cs="Times New Roman"/>
          <w:sz w:val="28"/>
          <w:szCs w:val="28"/>
        </w:rPr>
      </w:pPr>
    </w:p>
    <w:p w14:paraId="279FE108">
      <w:pPr>
        <w:numPr>
          <w:ilvl w:val="0"/>
          <w:numId w:val="2"/>
        </w:numPr>
        <w:spacing w:line="360" w:lineRule="auto"/>
        <w:ind w:left="0" w:leftChars="0" w:firstLine="0" w:firstLineChars="0"/>
        <w:jc w:val="center"/>
        <w:rPr>
          <w:rFonts w:hint="default" w:ascii="Times New Roman" w:hAnsi="Times New Roman" w:cs="Times New Roman"/>
          <w:b/>
          <w:bCs/>
          <w:sz w:val="28"/>
          <w:szCs w:val="28"/>
        </w:rPr>
      </w:pPr>
      <w:r>
        <w:rPr>
          <w:rFonts w:hint="default" w:ascii="Times New Roman" w:hAnsi="Times New Roman" w:cs="Times New Roman"/>
          <w:b/>
          <w:bCs/>
          <w:sz w:val="28"/>
          <w:szCs w:val="28"/>
        </w:rPr>
        <w:t>Опубликование схемы размещения нестационарных торговых объектов</w:t>
      </w:r>
    </w:p>
    <w:p w14:paraId="34654050">
      <w:pPr>
        <w:numPr>
          <w:ilvl w:val="0"/>
          <w:numId w:val="0"/>
        </w:numPr>
        <w:spacing w:line="360" w:lineRule="auto"/>
        <w:ind w:leftChars="0"/>
        <w:jc w:val="both"/>
        <w:rPr>
          <w:rFonts w:hint="default" w:ascii="Times New Roman" w:hAnsi="Times New Roman" w:cs="Times New Roman"/>
          <w:b/>
          <w:bCs/>
          <w:sz w:val="28"/>
          <w:szCs w:val="28"/>
        </w:rPr>
      </w:pPr>
    </w:p>
    <w:p w14:paraId="40CDDDC3">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5.1. Утвержденная Схема подлежит опубликованию в порядке, установленном для официального опубликования муниципальных правовых актов, а также размещению на официальном сайте Правительства Приморского края и органов исполнительной власти Приморского края в информационно-телекоммуникационной сети Интернет и органа местного самоуправления в информационно-телекоммуникационной сети Интернет.</w:t>
      </w:r>
    </w:p>
    <w:p w14:paraId="1D70C327">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5.2. Для размещения на официальном сайте Правительства Приморского края и органов исполнительной власти Приморского края в информационно-телекоммуникационной сети Интернет утвержденн</w:t>
      </w:r>
      <w:r>
        <w:rPr>
          <w:rFonts w:hint="default" w:ascii="Times New Roman" w:hAnsi="Times New Roman" w:cs="Times New Roman"/>
          <w:sz w:val="28"/>
          <w:szCs w:val="28"/>
          <w:lang w:val="ru-RU"/>
        </w:rPr>
        <w:t>ая</w:t>
      </w:r>
      <w:r>
        <w:rPr>
          <w:rFonts w:hint="default" w:ascii="Times New Roman" w:hAnsi="Times New Roman" w:cs="Times New Roman"/>
          <w:sz w:val="28"/>
          <w:szCs w:val="28"/>
        </w:rPr>
        <w:t xml:space="preserve"> схем</w:t>
      </w:r>
      <w:r>
        <w:rPr>
          <w:rFonts w:hint="default" w:ascii="Times New Roman" w:hAnsi="Times New Roman" w:cs="Times New Roman"/>
          <w:sz w:val="28"/>
          <w:szCs w:val="28"/>
          <w:lang w:val="ru-RU"/>
        </w:rPr>
        <w:t>а</w:t>
      </w:r>
      <w:r>
        <w:rPr>
          <w:rFonts w:hint="default" w:ascii="Times New Roman" w:hAnsi="Times New Roman" w:cs="Times New Roman"/>
          <w:sz w:val="28"/>
          <w:szCs w:val="28"/>
        </w:rPr>
        <w:t xml:space="preserve"> размещения и внесенные в н</w:t>
      </w:r>
      <w:r>
        <w:rPr>
          <w:rFonts w:hint="default" w:ascii="Times New Roman" w:hAnsi="Times New Roman" w:cs="Times New Roman"/>
          <w:sz w:val="28"/>
          <w:szCs w:val="28"/>
          <w:lang w:val="ru-RU"/>
        </w:rPr>
        <w:t>её</w:t>
      </w:r>
      <w:r>
        <w:rPr>
          <w:rFonts w:hint="default" w:ascii="Times New Roman" w:hAnsi="Times New Roman" w:cs="Times New Roman"/>
          <w:sz w:val="28"/>
          <w:szCs w:val="28"/>
        </w:rPr>
        <w:t xml:space="preserve"> изменения и дополнения представляются уполномоченным орган</w:t>
      </w:r>
      <w:r>
        <w:rPr>
          <w:rFonts w:hint="default" w:ascii="Times New Roman" w:hAnsi="Times New Roman" w:cs="Times New Roman"/>
          <w:sz w:val="28"/>
          <w:szCs w:val="28"/>
          <w:lang w:val="ru-RU"/>
        </w:rPr>
        <w:t>ом</w:t>
      </w:r>
      <w:r>
        <w:rPr>
          <w:rFonts w:hint="default" w:ascii="Times New Roman" w:hAnsi="Times New Roman" w:cs="Times New Roman"/>
          <w:sz w:val="28"/>
          <w:szCs w:val="28"/>
        </w:rPr>
        <w:t xml:space="preserve"> в течение пяти рабочих дней со дня их утверждения </w:t>
      </w:r>
      <w:r>
        <w:rPr>
          <w:rFonts w:hint="default" w:ascii="Times New Roman" w:hAnsi="Times New Roman" w:cs="Times New Roman"/>
          <w:sz w:val="28"/>
          <w:szCs w:val="28"/>
          <w:lang w:val="ru-RU"/>
        </w:rPr>
        <w:t>в Министерство промышленности</w:t>
      </w:r>
      <w:r>
        <w:rPr>
          <w:rFonts w:hint="default" w:ascii="Times New Roman" w:hAnsi="Times New Roman" w:cs="Times New Roman"/>
          <w:sz w:val="28"/>
          <w:szCs w:val="28"/>
        </w:rPr>
        <w:t xml:space="preserve"> и торговли Приморского края в электронном виде по форме согласно приложению к настоящему Порядку.</w:t>
      </w:r>
    </w:p>
    <w:p w14:paraId="5124427A">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5.3. Министерство промышленности и торговли Приморского края размещает на официальном сайте Правительства Приморского края и органов исполнительной власти Приморского края в информационно-телекоммуникационной сети Интернет утвержденные органами местного самоуправления Схемы и внесенные в них изменения и дополнения в пятидневный срок с момента их получения.</w:t>
      </w:r>
    </w:p>
    <w:p w14:paraId="0368340F">
      <w:pPr>
        <w:suppressAutoHyphens/>
        <w:spacing w:line="240" w:lineRule="auto"/>
        <w:jc w:val="center"/>
        <w:rPr>
          <w:rFonts w:ascii="Times New Roman" w:hAnsi="Times New Roman"/>
          <w:b/>
          <w:sz w:val="28"/>
          <w:szCs w:val="28"/>
        </w:rPr>
      </w:pPr>
      <w:r>
        <w:rPr>
          <w:rFonts w:ascii="Times New Roman" w:hAnsi="Times New Roman"/>
          <w:b/>
          <w:sz w:val="28"/>
          <w:szCs w:val="28"/>
        </w:rPr>
        <w:t>6. Требования к местам размещения нестационарных торговых</w:t>
      </w:r>
      <w:r>
        <w:rPr>
          <w:rFonts w:hint="default" w:ascii="Times New Roman" w:hAnsi="Times New Roman"/>
          <w:b/>
          <w:sz w:val="28"/>
          <w:szCs w:val="28"/>
          <w:lang w:val="ru-RU"/>
        </w:rPr>
        <w:t xml:space="preserve">                       </w:t>
      </w:r>
      <w:r>
        <w:rPr>
          <w:rFonts w:ascii="Times New Roman" w:hAnsi="Times New Roman"/>
          <w:b/>
          <w:sz w:val="28"/>
          <w:szCs w:val="28"/>
        </w:rPr>
        <w:t xml:space="preserve"> объектов и к внешнему виду и техническому состоянию </w:t>
      </w:r>
      <w:r>
        <w:rPr>
          <w:rFonts w:hint="default" w:ascii="Times New Roman" w:hAnsi="Times New Roman"/>
          <w:b/>
          <w:sz w:val="28"/>
          <w:szCs w:val="28"/>
          <w:lang w:val="ru-RU"/>
        </w:rPr>
        <w:t xml:space="preserve">                       </w:t>
      </w:r>
      <w:r>
        <w:rPr>
          <w:rFonts w:ascii="Times New Roman" w:hAnsi="Times New Roman"/>
          <w:b/>
          <w:sz w:val="28"/>
          <w:szCs w:val="28"/>
        </w:rPr>
        <w:t>нестационарных торговых объектов</w:t>
      </w:r>
    </w:p>
    <w:p w14:paraId="29D4B66D">
      <w:pPr>
        <w:suppressAutoHyphens/>
        <w:jc w:val="center"/>
        <w:rPr>
          <w:rFonts w:ascii="Times New Roman" w:hAnsi="Times New Roman"/>
          <w:b/>
          <w:sz w:val="28"/>
          <w:szCs w:val="28"/>
        </w:rPr>
      </w:pPr>
    </w:p>
    <w:p w14:paraId="58BBC639">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6.1. Требования к местам размещения нестационарных торговых объектов устанавливаются нормативными правовыми актами органов местного самоуправления с учетом норм и правил благоустройства, противопожарных требований.</w:t>
      </w:r>
    </w:p>
    <w:p w14:paraId="7E691F06">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Введение либо изменение и (или) дополнение указанных требований не может служить основанием для пересмотра мест нестационарных торговых объектов, размещенных в установленном порядке до введения или изменения соответствующих требований.</w:t>
      </w:r>
    </w:p>
    <w:p w14:paraId="4CB9251F">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6.2. Требования к внешнему виду и техническому состоянию нестационарных торговых объектов (предельные требования по внешним габаритам, площади, а также по внешнему оформлению (дизайну) нестационарных торговых объектов утверждаются нормативными правовыми актами органов местного самоуправления с учетом документации по планировке территории, утвержденной в порядке, установленном законодательством о градостроительной деятельности, исходя из следующих критериев:</w:t>
      </w:r>
    </w:p>
    <w:p w14:paraId="5EDE4993">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 удобство и функциональность осуществления торговой деятельности;</w:t>
      </w:r>
    </w:p>
    <w:p w14:paraId="3F827A65">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 соответствие внешнему архитектурному облику сложившейся застройки муниципального образования;</w:t>
      </w:r>
    </w:p>
    <w:p w14:paraId="75AA9606">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 возможность размещения средства индивидуализации и применения элементов фирменного стиля и оформления нестационарных торговых объектов, в том числе на отдалении;</w:t>
      </w:r>
    </w:p>
    <w:p w14:paraId="4122C49F">
      <w:pPr>
        <w:spacing w:line="360" w:lineRule="auto"/>
        <w:ind w:firstLine="140" w:firstLineChars="50"/>
        <w:jc w:val="both"/>
        <w:rPr>
          <w:rFonts w:hint="default" w:ascii="Times New Roman" w:hAnsi="Times New Roman" w:cs="Times New Roman"/>
          <w:sz w:val="28"/>
          <w:szCs w:val="28"/>
        </w:rPr>
      </w:pPr>
      <w:r>
        <w:rPr>
          <w:rFonts w:hint="default" w:ascii="Times New Roman" w:hAnsi="Times New Roman" w:cs="Times New Roman"/>
          <w:sz w:val="28"/>
          <w:szCs w:val="28"/>
        </w:rPr>
        <w:t>- возможность использования типового серийного оборудования, имеющегося на рынке, широко распространенных типовых материалов, производимых в Российской Федерации;</w:t>
      </w:r>
    </w:p>
    <w:p w14:paraId="066C216B">
      <w:pPr>
        <w:spacing w:line="360" w:lineRule="auto"/>
        <w:ind w:firstLine="140" w:firstLineChars="50"/>
        <w:jc w:val="both"/>
        <w:rPr>
          <w:rFonts w:hint="default" w:ascii="Times New Roman" w:hAnsi="Times New Roman" w:cs="Times New Roman"/>
          <w:sz w:val="28"/>
          <w:szCs w:val="28"/>
        </w:rPr>
      </w:pPr>
      <w:r>
        <w:rPr>
          <w:rFonts w:hint="default" w:ascii="Times New Roman" w:hAnsi="Times New Roman" w:cs="Times New Roman"/>
          <w:sz w:val="28"/>
          <w:szCs w:val="28"/>
        </w:rPr>
        <w:t>- минимизация расходов хозяйствующего субъекта на изготовление, оформление и эксплуатацию нестационарного торгового объекта, простота оформления.</w:t>
      </w:r>
    </w:p>
    <w:p w14:paraId="544F471A">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6.3. Проекты нормативных правовых актов, устанавливающие требования к местам размещения нестационарных торговых объектов, а также требования к внешнему виду и техническому состоянию нестационарных торговых объектов (технические требования к материалам изготовления, предельные требования по внешним габаритам, площади, а также по внешнему оформлению (дизайну) подлежат согласованию координационным или совещательным органом в области развития малого и среднего предпринимательства, созданным при органах местного самоуправления, а также общественным помощником Уполномоченного по защите прав предпринимателей в Приморском крае (при наличии таковых на территории муниципального образования).</w:t>
      </w:r>
    </w:p>
    <w:p w14:paraId="71439B8C">
      <w:pPr>
        <w:spacing w:line="360" w:lineRule="auto"/>
        <w:ind w:firstLine="560" w:firstLineChars="200"/>
        <w:jc w:val="both"/>
        <w:rPr>
          <w:rFonts w:ascii="Times New Roman" w:hAnsi="Times New Roman"/>
          <w:sz w:val="28"/>
          <w:szCs w:val="28"/>
        </w:rPr>
      </w:pPr>
      <w:r>
        <w:rPr>
          <w:rFonts w:ascii="Times New Roman" w:hAnsi="Times New Roman"/>
          <w:sz w:val="28"/>
          <w:szCs w:val="28"/>
        </w:rPr>
        <w:t>6.</w:t>
      </w:r>
      <w:r>
        <w:rPr>
          <w:rFonts w:hint="default" w:ascii="Times New Roman" w:hAnsi="Times New Roman"/>
          <w:sz w:val="28"/>
          <w:szCs w:val="28"/>
          <w:lang w:val="ru-RU"/>
        </w:rPr>
        <w:t>4</w:t>
      </w:r>
      <w:r>
        <w:rPr>
          <w:rFonts w:ascii="Times New Roman" w:hAnsi="Times New Roman"/>
          <w:sz w:val="28"/>
          <w:szCs w:val="28"/>
        </w:rPr>
        <w:t>. Требования к местам размещения нестационарных торговых объектов.                                                                                                                                                   6.</w:t>
      </w:r>
      <w:r>
        <w:rPr>
          <w:rFonts w:hint="default" w:ascii="Times New Roman" w:hAnsi="Times New Roman"/>
          <w:sz w:val="28"/>
          <w:szCs w:val="28"/>
          <w:lang w:val="ru-RU"/>
        </w:rPr>
        <w:t>4</w:t>
      </w:r>
      <w:r>
        <w:rPr>
          <w:rFonts w:ascii="Times New Roman" w:hAnsi="Times New Roman"/>
          <w:sz w:val="28"/>
          <w:szCs w:val="28"/>
        </w:rPr>
        <w:t xml:space="preserve">.1. Размещение НТО на территории Анучинского муниципального округа Приморского края осуществляется в местах, определенных Схемой и должно соответствовать действующим требованиям градостроительного, земельного, экологического законодательства, законодательства в сфере санитарно-эпидемиологического благополучия населения и пожарной безопасности, Правилам благоустройства и  санитарного содержания территории Анучинского муниципального округа Приморского края. </w:t>
      </w:r>
    </w:p>
    <w:p w14:paraId="026DE06A">
      <w:pPr>
        <w:spacing w:line="360" w:lineRule="auto"/>
        <w:ind w:firstLine="280" w:firstLineChars="100"/>
        <w:jc w:val="both"/>
        <w:rPr>
          <w:rFonts w:ascii="Times New Roman" w:hAnsi="Times New Roman"/>
          <w:sz w:val="28"/>
          <w:szCs w:val="28"/>
        </w:rPr>
      </w:pPr>
      <w:r>
        <w:rPr>
          <w:rFonts w:ascii="Times New Roman" w:hAnsi="Times New Roman"/>
          <w:sz w:val="28"/>
          <w:szCs w:val="28"/>
        </w:rPr>
        <w:t>6.</w:t>
      </w:r>
      <w:r>
        <w:rPr>
          <w:rFonts w:hint="default" w:ascii="Times New Roman" w:hAnsi="Times New Roman"/>
          <w:sz w:val="28"/>
          <w:szCs w:val="28"/>
          <w:lang w:val="ru-RU"/>
        </w:rPr>
        <w:t>4</w:t>
      </w:r>
      <w:r>
        <w:rPr>
          <w:rFonts w:ascii="Times New Roman" w:hAnsi="Times New Roman"/>
          <w:sz w:val="28"/>
          <w:szCs w:val="28"/>
        </w:rPr>
        <w:t xml:space="preserve">.2.  НТО при их размещении не должны создавать помех основному функциональному использованию объектов недвижимого имущества, на котором либо в непосредственной близости с которыми они расположены, и ухудшать благоустройство территории, визуальное восприятие среды населенного пункта, нарушать линию регулирования существующей застройки. </w:t>
      </w:r>
    </w:p>
    <w:p w14:paraId="37109221">
      <w:pPr>
        <w:pStyle w:val="46"/>
        <w:spacing w:line="360" w:lineRule="auto"/>
        <w:ind w:firstLine="280" w:firstLineChars="100"/>
        <w:jc w:val="both"/>
        <w:rPr>
          <w:rFonts w:ascii="Times New Roman" w:hAnsi="Times New Roman"/>
          <w:sz w:val="28"/>
          <w:szCs w:val="28"/>
        </w:rPr>
      </w:pPr>
      <w:r>
        <w:rPr>
          <w:rFonts w:ascii="Times New Roman" w:hAnsi="Times New Roman"/>
          <w:sz w:val="28"/>
          <w:szCs w:val="28"/>
        </w:rPr>
        <w:t>6.</w:t>
      </w:r>
      <w:r>
        <w:rPr>
          <w:rFonts w:hint="default" w:ascii="Times New Roman" w:hAnsi="Times New Roman"/>
          <w:sz w:val="28"/>
          <w:szCs w:val="28"/>
          <w:lang w:val="ru-RU"/>
        </w:rPr>
        <w:t>4</w:t>
      </w:r>
      <w:r>
        <w:rPr>
          <w:rFonts w:ascii="Times New Roman" w:hAnsi="Times New Roman"/>
          <w:sz w:val="28"/>
          <w:szCs w:val="28"/>
        </w:rPr>
        <w:t>.3. Транспортное обслуживание НТО и загрузка их товарами не должны затруднять и снижать безопасность движения транспорта и пешеходов.                       Загрузка товарами НТО может осуществляться в ночное время, не нарушая тишину и покой граждан.</w:t>
      </w:r>
    </w:p>
    <w:p w14:paraId="33DC392B">
      <w:pPr>
        <w:spacing w:line="360" w:lineRule="auto"/>
        <w:ind w:firstLine="280" w:firstLineChars="100"/>
        <w:jc w:val="both"/>
        <w:rPr>
          <w:rFonts w:ascii="Times New Roman" w:hAnsi="Times New Roman"/>
          <w:sz w:val="28"/>
          <w:szCs w:val="28"/>
        </w:rPr>
      </w:pPr>
      <w:r>
        <w:rPr>
          <w:rFonts w:ascii="Times New Roman" w:hAnsi="Times New Roman"/>
          <w:sz w:val="28"/>
          <w:szCs w:val="28"/>
        </w:rPr>
        <w:t>6.</w:t>
      </w:r>
      <w:r>
        <w:rPr>
          <w:rFonts w:hint="default" w:ascii="Times New Roman" w:hAnsi="Times New Roman"/>
          <w:sz w:val="28"/>
          <w:szCs w:val="28"/>
          <w:lang w:val="ru-RU"/>
        </w:rPr>
        <w:t>4</w:t>
      </w:r>
      <w:r>
        <w:rPr>
          <w:rFonts w:ascii="Times New Roman" w:hAnsi="Times New Roman"/>
          <w:sz w:val="28"/>
          <w:szCs w:val="28"/>
        </w:rPr>
        <w:t>.4.  Места для размещения НТО предоставляются без права возведения капитальных строений и устройства подвального этажа.</w:t>
      </w:r>
    </w:p>
    <w:p w14:paraId="228A070E">
      <w:pPr>
        <w:spacing w:line="360" w:lineRule="auto"/>
        <w:ind w:firstLine="280" w:firstLineChars="100"/>
        <w:jc w:val="both"/>
        <w:rPr>
          <w:rFonts w:ascii="Times New Roman" w:hAnsi="Times New Roman"/>
          <w:sz w:val="28"/>
          <w:szCs w:val="28"/>
        </w:rPr>
      </w:pPr>
      <w:r>
        <w:rPr>
          <w:rFonts w:ascii="Times New Roman" w:hAnsi="Times New Roman"/>
          <w:sz w:val="28"/>
          <w:szCs w:val="28"/>
        </w:rPr>
        <w:t>6.</w:t>
      </w:r>
      <w:r>
        <w:rPr>
          <w:rFonts w:hint="default" w:ascii="Times New Roman" w:hAnsi="Times New Roman"/>
          <w:sz w:val="28"/>
          <w:szCs w:val="28"/>
          <w:lang w:val="ru-RU"/>
        </w:rPr>
        <w:t>4</w:t>
      </w:r>
      <w:r>
        <w:rPr>
          <w:rFonts w:ascii="Times New Roman" w:hAnsi="Times New Roman"/>
          <w:sz w:val="28"/>
          <w:szCs w:val="28"/>
        </w:rPr>
        <w:t>.5.   Не допускается размещение НТО:</w:t>
      </w:r>
    </w:p>
    <w:p w14:paraId="243D7529">
      <w:pPr>
        <w:spacing w:line="360" w:lineRule="auto"/>
        <w:ind w:firstLine="540"/>
        <w:jc w:val="both"/>
        <w:rPr>
          <w:rFonts w:ascii="Times New Roman" w:hAnsi="Times New Roman"/>
          <w:sz w:val="28"/>
          <w:szCs w:val="28"/>
        </w:rPr>
      </w:pPr>
      <w:r>
        <w:rPr>
          <w:rFonts w:ascii="Times New Roman" w:hAnsi="Times New Roman"/>
          <w:sz w:val="28"/>
          <w:szCs w:val="28"/>
        </w:rPr>
        <w:t>-   в местах, не включенных в схему;</w:t>
      </w:r>
    </w:p>
    <w:p w14:paraId="5EB8FFBF">
      <w:pPr>
        <w:spacing w:line="360" w:lineRule="auto"/>
        <w:ind w:firstLine="540"/>
        <w:jc w:val="both"/>
        <w:rPr>
          <w:rFonts w:ascii="Times New Roman" w:hAnsi="Times New Roman"/>
          <w:sz w:val="28"/>
          <w:szCs w:val="28"/>
        </w:rPr>
      </w:pPr>
      <w:r>
        <w:rPr>
          <w:rFonts w:ascii="Times New Roman" w:hAnsi="Times New Roman"/>
          <w:sz w:val="28"/>
          <w:szCs w:val="28"/>
        </w:rPr>
        <w:t>-   особо охраняемых природно-рекреационных территориях;</w:t>
      </w:r>
    </w:p>
    <w:p w14:paraId="7A383181">
      <w:pPr>
        <w:spacing w:line="360" w:lineRule="auto"/>
        <w:ind w:firstLine="540"/>
        <w:jc w:val="both"/>
        <w:rPr>
          <w:rFonts w:ascii="Times New Roman" w:hAnsi="Times New Roman"/>
          <w:sz w:val="28"/>
          <w:szCs w:val="28"/>
        </w:rPr>
      </w:pPr>
      <w:r>
        <w:rPr>
          <w:rFonts w:ascii="Times New Roman" w:hAnsi="Times New Roman"/>
          <w:sz w:val="28"/>
          <w:szCs w:val="28"/>
        </w:rPr>
        <w:t xml:space="preserve">- на территориях, прилегающих к памятникам и  памятникам архитектуры; </w:t>
      </w:r>
    </w:p>
    <w:p w14:paraId="2D5A4BB4">
      <w:pPr>
        <w:suppressAutoHyphens/>
        <w:spacing w:line="360" w:lineRule="auto"/>
        <w:ind w:firstLine="510"/>
        <w:jc w:val="both"/>
        <w:rPr>
          <w:rFonts w:ascii="Times New Roman" w:hAnsi="Times New Roman"/>
          <w:sz w:val="28"/>
          <w:szCs w:val="28"/>
        </w:rPr>
      </w:pPr>
      <w:r>
        <w:rPr>
          <w:rFonts w:ascii="Times New Roman" w:hAnsi="Times New Roman"/>
          <w:sz w:val="28"/>
          <w:szCs w:val="28"/>
        </w:rPr>
        <w:t>- в арках зданий, на газонах, цветниках, объектах озеленения, площадках (детских, отдыха, спортивных, транспортных стоянок), на расстоянии менее 5 метров от окон зданий и витрин стационарных торговых объектов;</w:t>
      </w:r>
    </w:p>
    <w:p w14:paraId="7C16F621">
      <w:pPr>
        <w:suppressAutoHyphens/>
        <w:spacing w:line="360" w:lineRule="auto"/>
        <w:ind w:firstLine="567"/>
        <w:jc w:val="both"/>
        <w:rPr>
          <w:rFonts w:ascii="Times New Roman" w:hAnsi="Times New Roman"/>
          <w:sz w:val="28"/>
          <w:szCs w:val="28"/>
        </w:rPr>
      </w:pPr>
      <w:r>
        <w:rPr>
          <w:rFonts w:ascii="Times New Roman" w:hAnsi="Times New Roman"/>
          <w:sz w:val="28"/>
          <w:szCs w:val="28"/>
        </w:rPr>
        <w:t>- на посадочных площадках, заездных карманах, на проезжей части автомобильных дорог, на расстоянии менее 5 метров вблизи светофоров, знаков дорожного движения;</w:t>
      </w:r>
    </w:p>
    <w:p w14:paraId="17ED439B">
      <w:pPr>
        <w:suppressAutoHyphens/>
        <w:spacing w:line="360" w:lineRule="auto"/>
        <w:ind w:firstLine="283"/>
        <w:jc w:val="both"/>
        <w:rPr>
          <w:rFonts w:ascii="Times New Roman" w:hAnsi="Times New Roman"/>
          <w:sz w:val="28"/>
          <w:szCs w:val="28"/>
        </w:rPr>
      </w:pPr>
      <w:r>
        <w:rPr>
          <w:rFonts w:ascii="Times New Roman" w:hAnsi="Times New Roman"/>
          <w:sz w:val="28"/>
          <w:szCs w:val="28"/>
        </w:rPr>
        <w:t>- в зоне улично-дорожной сети (за исключением газетных киосков и нестационарных торговых объектов сезонного размещения);</w:t>
      </w:r>
    </w:p>
    <w:p w14:paraId="04474F47">
      <w:pPr>
        <w:suppressAutoHyphens/>
        <w:spacing w:line="360" w:lineRule="auto"/>
        <w:ind w:firstLine="283"/>
        <w:jc w:val="both"/>
        <w:rPr>
          <w:rFonts w:ascii="Times New Roman" w:hAnsi="Times New Roman"/>
          <w:sz w:val="28"/>
          <w:szCs w:val="28"/>
        </w:rPr>
      </w:pPr>
      <w:r>
        <w:rPr>
          <w:rFonts w:ascii="Times New Roman" w:hAnsi="Times New Roman"/>
          <w:sz w:val="28"/>
          <w:szCs w:val="28"/>
        </w:rPr>
        <w:t>- ближе 20 метров от окон жилых помещений, границ объектов (зданий, сооружений, помещений) дошкольного, общего и дополнительного образования;</w:t>
      </w:r>
    </w:p>
    <w:p w14:paraId="3EB91296">
      <w:pPr>
        <w:suppressAutoHyphens/>
        <w:spacing w:line="360" w:lineRule="auto"/>
        <w:ind w:firstLine="283"/>
        <w:jc w:val="both"/>
        <w:rPr>
          <w:rFonts w:ascii="Times New Roman" w:hAnsi="Times New Roman"/>
          <w:sz w:val="28"/>
          <w:szCs w:val="28"/>
        </w:rPr>
      </w:pPr>
      <w:r>
        <w:rPr>
          <w:rFonts w:ascii="Times New Roman" w:hAnsi="Times New Roman"/>
          <w:sz w:val="28"/>
          <w:szCs w:val="28"/>
        </w:rPr>
        <w:t>- на путях движения пешеходных потоков, в том числе движения инвалидов и других маломобильных групп населения;</w:t>
      </w:r>
    </w:p>
    <w:p w14:paraId="10126932">
      <w:pPr>
        <w:suppressAutoHyphens/>
        <w:spacing w:line="360" w:lineRule="auto"/>
        <w:ind w:firstLine="283"/>
        <w:jc w:val="both"/>
        <w:rPr>
          <w:rFonts w:ascii="Times New Roman" w:hAnsi="Times New Roman"/>
        </w:rPr>
      </w:pPr>
      <w:r>
        <w:rPr>
          <w:rFonts w:ascii="Times New Roman" w:hAnsi="Times New Roman"/>
          <w:sz w:val="28"/>
          <w:szCs w:val="28"/>
          <w:lang w:eastAsia="ar-SA"/>
        </w:rPr>
        <w:t>- с нарушением утвержденного типового архитектурного решения нестационарного торгового объекта и в случае нарушения внешнего архитектурного облика сложившейся застройки.</w:t>
      </w:r>
    </w:p>
    <w:p w14:paraId="33CFD210">
      <w:pPr>
        <w:spacing w:line="360" w:lineRule="auto"/>
        <w:ind w:firstLine="280" w:firstLineChars="100"/>
        <w:jc w:val="both"/>
        <w:rPr>
          <w:rFonts w:ascii="Times New Roman" w:hAnsi="Times New Roman"/>
          <w:sz w:val="28"/>
          <w:szCs w:val="28"/>
        </w:rPr>
      </w:pPr>
      <w:r>
        <w:rPr>
          <w:rFonts w:ascii="Times New Roman" w:hAnsi="Times New Roman"/>
          <w:sz w:val="28"/>
          <w:szCs w:val="28"/>
        </w:rPr>
        <w:t>6.</w:t>
      </w:r>
      <w:r>
        <w:rPr>
          <w:rFonts w:hint="default" w:ascii="Times New Roman" w:hAnsi="Times New Roman"/>
          <w:sz w:val="28"/>
          <w:szCs w:val="28"/>
          <w:lang w:val="ru-RU"/>
        </w:rPr>
        <w:t>4</w:t>
      </w:r>
      <w:r>
        <w:rPr>
          <w:rFonts w:ascii="Times New Roman" w:hAnsi="Times New Roman"/>
          <w:sz w:val="28"/>
          <w:szCs w:val="28"/>
        </w:rPr>
        <w:t>.6.   Расстояние от края проезжей части до НТО должно составлять не менее 3,0 м.</w:t>
      </w:r>
    </w:p>
    <w:p w14:paraId="50D7992C">
      <w:pPr>
        <w:suppressAutoHyphens/>
        <w:spacing w:line="360" w:lineRule="auto"/>
        <w:ind w:firstLine="280" w:firstLineChars="100"/>
        <w:jc w:val="both"/>
        <w:rPr>
          <w:rFonts w:ascii="Times New Roman" w:hAnsi="Times New Roman"/>
          <w:sz w:val="28"/>
          <w:szCs w:val="28"/>
        </w:rPr>
      </w:pPr>
      <w:r>
        <w:rPr>
          <w:rFonts w:ascii="Times New Roman" w:hAnsi="Times New Roman"/>
          <w:sz w:val="28"/>
          <w:szCs w:val="28"/>
        </w:rPr>
        <w:t>6.</w:t>
      </w:r>
      <w:r>
        <w:rPr>
          <w:rFonts w:hint="default" w:ascii="Times New Roman" w:hAnsi="Times New Roman"/>
          <w:sz w:val="28"/>
          <w:szCs w:val="28"/>
          <w:lang w:val="ru-RU"/>
        </w:rPr>
        <w:t>4</w:t>
      </w:r>
      <w:r>
        <w:rPr>
          <w:rFonts w:ascii="Times New Roman" w:hAnsi="Times New Roman"/>
          <w:sz w:val="28"/>
          <w:szCs w:val="28"/>
        </w:rPr>
        <w:t>.7.  Введение либо изменение и (или) дополнение указанных требований не может служить основанием для пересмотра мест нестационарных торговых объектов, размещенных в установленном порядке до введения или изменения соответствующих требований.</w:t>
      </w:r>
    </w:p>
    <w:p w14:paraId="1A5E0427">
      <w:pPr>
        <w:spacing w:line="360" w:lineRule="auto"/>
        <w:ind w:firstLine="420" w:firstLineChars="150"/>
        <w:jc w:val="both"/>
        <w:rPr>
          <w:rFonts w:hint="default" w:ascii="Times New Roman" w:hAnsi="Times New Roman" w:cs="Times New Roman"/>
          <w:sz w:val="28"/>
          <w:szCs w:val="28"/>
        </w:rPr>
      </w:pPr>
      <w:r>
        <w:rPr>
          <w:rFonts w:ascii="Times New Roman" w:hAnsi="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 xml:space="preserve">. Требования к внешнему виду и техническому состоянию нестационарных торговых объектов. </w:t>
      </w:r>
    </w:p>
    <w:p w14:paraId="2349C863">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.1. Требования к внешнему виду и техническому состоянию нестационарных торговых объектов (предельные требования по внешним габаритам, площади, а также по внешнему оформлению (дизайну) нестационарных торговых объектов) разработаны  с учетом документации по планировке территории, утвержденной в порядке, установленном законодательством о градостроительной деятельности, исходя из следующих критериев:</w:t>
      </w:r>
    </w:p>
    <w:p w14:paraId="60995002">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 удобство и функциональность осуществления торговой деятельности;</w:t>
      </w:r>
    </w:p>
    <w:p w14:paraId="749F58F4">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 соответствие внешнему архитектурному облику сложившейся застройки муниципального образования;</w:t>
      </w:r>
    </w:p>
    <w:p w14:paraId="20248EFD">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 возможность размещения средства индивидуализации и применения элементов фирменного стиля и оформления нестационарных торговых объектов, в том числе на отдалении;</w:t>
      </w:r>
    </w:p>
    <w:p w14:paraId="358E4D9D">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 возможность использования типового серийного оборудования, имеющегося на рынке, широко распространенных типовых материалов, производимых в Российской Федерации;</w:t>
      </w:r>
    </w:p>
    <w:p w14:paraId="2F444160">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lang w:val="ru-RU"/>
        </w:rPr>
        <w:t xml:space="preserve">   - </w:t>
      </w:r>
      <w:r>
        <w:rPr>
          <w:rFonts w:hint="default" w:ascii="Times New Roman" w:hAnsi="Times New Roman" w:cs="Times New Roman"/>
          <w:sz w:val="28"/>
          <w:szCs w:val="28"/>
        </w:rPr>
        <w:t>минимизация расходов хозяйствующего субъекта на изготовление, оформление и эксплуатацию нестационарного торгового объекта, простота оформления.</w:t>
      </w:r>
    </w:p>
    <w:p w14:paraId="479AE766">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  6.</w:t>
      </w:r>
      <w:r>
        <w:rPr>
          <w:rFonts w:hint="default" w:ascii="Times New Roman" w:hAnsi="Times New Roman" w:cs="Times New Roman"/>
          <w:sz w:val="28"/>
          <w:szCs w:val="28"/>
          <w:lang w:val="ru-RU"/>
        </w:rPr>
        <w:t>5</w:t>
      </w:r>
      <w:r>
        <w:rPr>
          <w:rFonts w:hint="default" w:ascii="Times New Roman" w:hAnsi="Times New Roman" w:cs="Times New Roman"/>
          <w:sz w:val="28"/>
          <w:szCs w:val="28"/>
        </w:rPr>
        <w:t>.2. Обустройство, установка, возведение нестационарных торговых объектов (далее -  НТО)  должно осуществляться из модульных или быстровозводимых конструкций. Устройство заглубленных фундаментов запрещается.</w:t>
      </w:r>
    </w:p>
    <w:p w14:paraId="1CAC1863">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.3.   Для возведения (изготовления) НТО и его отделки должны применяться легкие металлические конструкции с остеклением из витринного стекла (простого или тонированного) и облицовкой цветными пластиками, композитными панелями. Остекление поверхности главного фасада должно быть не менее 50% от его поверхности. Остекление боковых фасадов не нормируется.</w:t>
      </w:r>
    </w:p>
    <w:p w14:paraId="113049C3">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.4. Допускается использование других материалов, имеющих качественную и прочную окраску, отделку. При этом исключается применение кирпича, блоков, шиферной кровли, профилированного листа.</w:t>
      </w:r>
    </w:p>
    <w:p w14:paraId="048A6F5F">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.5.  Высота НТО от средней планировочной отметки земли до верхней точки конструкции НТО допускается не более 3 м.</w:t>
      </w:r>
    </w:p>
    <w:p w14:paraId="4DDF4576">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 xml:space="preserve">.6.   Площадь места для размещения НТО (в т. ч. павильоны, киоски) устанавливается равной площади НТО, увеличенной на 30%. </w:t>
      </w:r>
    </w:p>
    <w:p w14:paraId="09789151">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.7. Для размещения мелкорозничных передвижных НТО площадь торгового места устанавливается:</w:t>
      </w:r>
    </w:p>
    <w:p w14:paraId="716B94E8">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для лотков, тележек, торговых автоматов – 4 кв. м.;</w:t>
      </w:r>
    </w:p>
    <w:p w14:paraId="473C893C">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для палаток – 6 кв. м.;</w:t>
      </w:r>
    </w:p>
    <w:p w14:paraId="78698D7F">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для квасных цистерн – 6 кв. м.;</w:t>
      </w:r>
    </w:p>
    <w:p w14:paraId="04664504">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для автоприцепов типа «Купава» - 10 кв. м.;</w:t>
      </w:r>
    </w:p>
    <w:p w14:paraId="627251F0">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для иных специальных приспособлений – 10 кв. м..</w:t>
      </w:r>
    </w:p>
    <w:p w14:paraId="56BE59D3">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Под торговым местом следует понимать площадь земельного участка, необходимую продавцу для выкладки (показа), складирования товара, тары, размещения самого продавца, покупателей либо передвижного транспортного средства.</w:t>
      </w:r>
    </w:p>
    <w:p w14:paraId="1F42E0CF">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.8.   Подъездные пути, разгрузочные площадки, площадки для покупателей должны обеспечивать удобный доступ к входам, иметь твердое покрытие, обеспечивать сток ливневых вод, а также должны быть освещены.</w:t>
      </w:r>
    </w:p>
    <w:p w14:paraId="63B724F6">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.9.  Размещение торгово-технологического оборудования, в том числе холодильного оборудования, прилавков, витрин, столов, оборудования для приготовления пищи и т.п., около НТО не допускается.</w:t>
      </w:r>
    </w:p>
    <w:p w14:paraId="0411E150">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.10.   Хозяйствующие субъекты обязаны обеспечивать постоянный уход за внешним видом и содержанием НТО, производить уборку прилегающей территории.</w:t>
      </w:r>
    </w:p>
    <w:p w14:paraId="3CFD7BC6">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.11.  Техническая оснащенность НТО должна отвечать санитарным, противопожарным, экологическим правилам, соответствовать требованиям безопасности для жизни и здоровья людей, условиям приема, хранения и реализации товара, а также обеспечивать условия труда и личной гигиены работников.</w:t>
      </w:r>
    </w:p>
    <w:p w14:paraId="6382403B">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 xml:space="preserve">.12.   Запрещается раскладка товаров, а также складирование тары и запаса продуктов на прилегающей к НТО территории. </w:t>
      </w:r>
    </w:p>
    <w:p w14:paraId="16E70774">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.13.  Благоустройство и озеленение территории земельных участков, выделяемых под некапитальные объекты, должны осуществляться хозяйствующими субъектами с учетом действующих норм, правил и требований в сфере благоустройства. Благоустройство должно предусматривать устройство пешеходных дорожек и автопарковок с твердым покрытием в соответствии с требованием градостроительных норм по количеству машино-мест (но не менее двух), а также устройство водоотводов, элементов освещения, малых архитектурных форм, газонов, цветников.</w:t>
      </w:r>
    </w:p>
    <w:p w14:paraId="3815B5D2">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.14. При размещении НТО не допускается вырубка кустарниковой, древесной растительности, асфальтирование и сплошное мощение приствольных кругов в радиусе ближе 1,5 метров от ствола.</w:t>
      </w:r>
    </w:p>
    <w:p w14:paraId="33ED1A79">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.15.   В случае установки двух и более отдельных НТО на расстоянии менее 50 метров друг от друга необходимо выполнять общую проектную документацию на всю группу объектов, включая проект благоустройства прилегающей территории. В случае если несколько граничащих друг с другом объектов принадлежат разным лицам, заказчик единого проекта на всю группу объектов должен определяться соглашением между этими лицами.</w:t>
      </w:r>
    </w:p>
    <w:p w14:paraId="2A1D5DFD">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6.2.16.   Передвижные НТО размещаются в местах с твердым покрытием, оборудованных осветительным оборудованием, урнами или малыми контейнерами для мусора.</w:t>
      </w:r>
    </w:p>
    <w:p w14:paraId="5F1274DC">
      <w:pPr>
        <w:spacing w:line="360" w:lineRule="auto"/>
        <w:ind w:firstLine="280" w:firstLineChars="100"/>
        <w:jc w:val="both"/>
        <w:rPr>
          <w:rFonts w:hint="default" w:ascii="Times New Roman" w:hAnsi="Times New Roman" w:cs="Times New Roman"/>
          <w:sz w:val="28"/>
          <w:szCs w:val="28"/>
          <w:lang w:val="ru-RU"/>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 xml:space="preserve">.17. Внешний вид нестационарных торговых объектов должен соответствовать эскизу (дизайн-проекту, далее Проект), согласованному </w:t>
      </w:r>
      <w:r>
        <w:rPr>
          <w:rFonts w:hint="default" w:ascii="Times New Roman" w:hAnsi="Times New Roman" w:cs="Times New Roman"/>
          <w:sz w:val="28"/>
          <w:szCs w:val="28"/>
          <w:lang w:val="ru-RU"/>
        </w:rPr>
        <w:t xml:space="preserve">с отделом архитектуры и градостроительства управления градостроительных, имущественных и земельных отношений </w:t>
      </w:r>
      <w:r>
        <w:rPr>
          <w:rFonts w:hint="default" w:ascii="Times New Roman" w:hAnsi="Times New Roman" w:cs="Times New Roman"/>
          <w:sz w:val="28"/>
          <w:szCs w:val="28"/>
        </w:rPr>
        <w:t>администрации Анучинского муниципального округа Приморского края</w:t>
      </w:r>
      <w:r>
        <w:rPr>
          <w:rFonts w:hint="default" w:ascii="Times New Roman" w:hAnsi="Times New Roman" w:cs="Times New Roman"/>
          <w:sz w:val="28"/>
          <w:szCs w:val="28"/>
          <w:lang w:val="ru-RU"/>
        </w:rPr>
        <w:t>;</w:t>
      </w:r>
    </w:p>
    <w:p w14:paraId="3ABBEAE1">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        Проект нестационарного торгового объекта разрабатывается субъектом торговли самостоятельно и  предусматривает описание НТО, которое включает:</w:t>
      </w:r>
    </w:p>
    <w:p w14:paraId="562E90F4">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а) в графической части:</w:t>
      </w:r>
    </w:p>
    <w:p w14:paraId="537BCAF7">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графическое местоположение НТО на картографической схеме расположения масштабом 1:2000 с привязкой к ближайшему объекту капитального строительства, имеющему почтовый адрес;</w:t>
      </w:r>
    </w:p>
    <w:p w14:paraId="4F2635E7">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схематичное изображение внешнего подъезда к НТО транспортных средств, обеспечивающих торговую деятельность НТО;</w:t>
      </w:r>
    </w:p>
    <w:p w14:paraId="07EEC666">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отображение фасадов с цветовым решением;</w:t>
      </w:r>
    </w:p>
    <w:p w14:paraId="6E3DE49C">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фотомонтаж проектируемого НТО по предполагаемому месту установки с включением сложившейся застройки,</w:t>
      </w:r>
    </w:p>
    <w:p w14:paraId="57781F4B">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б) в текстовой части:</w:t>
      </w:r>
    </w:p>
    <w:p w14:paraId="36556C5E">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описание решений субъекта торговли по благоустройству, озеленению и освещению прилегающей к НТО территории, по обеспечению доступа инвалидов к НТО;</w:t>
      </w:r>
    </w:p>
    <w:p w14:paraId="062B301D">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описание и обоснование внешнего и внутреннего вида НТО, его пространственной, планировочной и функциональной организации;</w:t>
      </w:r>
    </w:p>
    <w:p w14:paraId="41E17378">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обоснование предельных параметров НТО, указанных в заявлении;</w:t>
      </w:r>
    </w:p>
    <w:p w14:paraId="01179F82">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описание и обоснование использованных композиционных приемов при оформлении фасадов и интерьеров НТО;</w:t>
      </w:r>
    </w:p>
    <w:p w14:paraId="024EFAB3">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описание решений по внешней отделке НТО;</w:t>
      </w:r>
    </w:p>
    <w:p w14:paraId="2AF4488C">
      <w:pPr>
        <w:spacing w:line="360" w:lineRule="auto"/>
        <w:ind w:firstLine="420" w:firstLineChars="150"/>
        <w:jc w:val="both"/>
        <w:rPr>
          <w:rFonts w:hint="default" w:ascii="Times New Roman" w:hAnsi="Times New Roman" w:cs="Times New Roman"/>
          <w:sz w:val="28"/>
          <w:szCs w:val="28"/>
        </w:rPr>
      </w:pPr>
      <w:r>
        <w:rPr>
          <w:rFonts w:hint="default" w:ascii="Times New Roman" w:hAnsi="Times New Roman" w:cs="Times New Roman"/>
          <w:sz w:val="28"/>
          <w:szCs w:val="28"/>
        </w:rPr>
        <w:t>информация об источниках присоединения НТО к сетям энергоснабжения, водоснабжения, водоотведения, теплоснабжения (если таковы имеются);</w:t>
      </w:r>
    </w:p>
    <w:p w14:paraId="788FE594">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информация о необходимости осуществление земляных работ, связанных с установкой и эксплуатацией НТО.</w:t>
      </w:r>
    </w:p>
    <w:p w14:paraId="579A0013">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 xml:space="preserve"> 6.</w:t>
      </w:r>
      <w:r>
        <w:rPr>
          <w:rFonts w:hint="default" w:ascii="Times New Roman" w:hAnsi="Times New Roman" w:cs="Times New Roman"/>
          <w:sz w:val="28"/>
          <w:szCs w:val="28"/>
          <w:lang w:val="ru-RU"/>
        </w:rPr>
        <w:t>5</w:t>
      </w:r>
      <w:r>
        <w:rPr>
          <w:rFonts w:hint="default" w:ascii="Times New Roman" w:hAnsi="Times New Roman" w:cs="Times New Roman"/>
          <w:sz w:val="28"/>
          <w:szCs w:val="28"/>
        </w:rPr>
        <w:t xml:space="preserve">.18. Применение вновь утверждаемых требований к внешнему виду нестационарных торговых объектов не ранее, чем через 7 лет с момента начала осуществления хозяйствующими субъектами торговой деятельности и модернизация внешнего оформления нестационарных торговых объектов в соответствии с вновь утверждаемыми требованиями не чаще, чем один раз в 7 лет без замены конструктивных элементов. </w:t>
      </w:r>
    </w:p>
    <w:p w14:paraId="5721F479">
      <w:pPr>
        <w:spacing w:line="360" w:lineRule="auto"/>
        <w:ind w:firstLine="280" w:firstLineChars="100"/>
        <w:jc w:val="both"/>
        <w:rPr>
          <w:rFonts w:hint="default" w:ascii="Times New Roman" w:hAnsi="Times New Roman" w:cs="Times New Roman"/>
          <w:sz w:val="28"/>
          <w:szCs w:val="28"/>
        </w:rPr>
      </w:pPr>
      <w:r>
        <w:rPr>
          <w:rFonts w:hint="default" w:ascii="Times New Roman" w:hAnsi="Times New Roman" w:cs="Times New Roman"/>
          <w:sz w:val="28"/>
          <w:szCs w:val="28"/>
        </w:rPr>
        <w:t>6.</w:t>
      </w:r>
      <w:r>
        <w:rPr>
          <w:rFonts w:hint="default" w:ascii="Times New Roman" w:hAnsi="Times New Roman" w:cs="Times New Roman"/>
          <w:sz w:val="28"/>
          <w:szCs w:val="28"/>
          <w:lang w:val="ru-RU"/>
        </w:rPr>
        <w:t>5</w:t>
      </w:r>
      <w:r>
        <w:rPr>
          <w:rFonts w:hint="default" w:ascii="Times New Roman" w:hAnsi="Times New Roman" w:cs="Times New Roman"/>
          <w:sz w:val="28"/>
          <w:szCs w:val="28"/>
        </w:rPr>
        <w:t>.19. Проекты нормативных правовых актов, устанавливающие требования к местам размещения нестационарных торговых объектов, а также требования к внешнему виду и техническому состоянию нестационарных торговых объектов (технические требования к материалам изготовления, предельные требования по внешним габаритам, площади, а также по внешнему оформлению (дизайну) подлежат согласованию координационным или совещательным органом в области развития малого и среднего предпринимательства, созданным при органах местного самоуправления, а также общественным помощником Уполномоченного по защите прав предпринимателей в Приморском крае (при наличии таковых на территории муниципального образования).</w:t>
      </w:r>
    </w:p>
    <w:p w14:paraId="7BFFB79E">
      <w:pPr>
        <w:spacing w:line="360" w:lineRule="auto"/>
        <w:jc w:val="both"/>
        <w:rPr>
          <w:rFonts w:hint="default" w:ascii="Times New Roman" w:hAnsi="Times New Roman" w:cs="Times New Roman"/>
          <w:sz w:val="28"/>
          <w:szCs w:val="28"/>
        </w:rPr>
      </w:pPr>
    </w:p>
    <w:p w14:paraId="67596AD4">
      <w:pPr>
        <w:rPr>
          <w:rFonts w:ascii="Times New Roman" w:hAnsi="Times New Roman"/>
          <w:sz w:val="28"/>
          <w:szCs w:val="28"/>
        </w:rPr>
      </w:pPr>
      <w:r>
        <w:rPr>
          <w:rFonts w:hint="default" w:ascii="Times New Roman" w:hAnsi="Times New Roman" w:cs="Times New Roman"/>
          <w:sz w:val="24"/>
          <w:szCs w:val="24"/>
          <w:vertAlign w:val="baseline"/>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1134" w:right="851" w:bottom="1134" w:left="1418"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MS Mincho">
    <w:altName w:val="Yu Gothic UI"/>
    <w:panose1 w:val="02020609040205080304"/>
    <w:charset w:val="80"/>
    <w:family w:val="modern"/>
    <w:pitch w:val="default"/>
    <w:sig w:usb0="00000000" w:usb1="00000000" w:usb2="08000012" w:usb3="00000000" w:csb0="0002009F" w:csb1="00000000"/>
  </w:font>
  <w:font w:name="Times New Roman CYR">
    <w:altName w:val="Times New Roman"/>
    <w:panose1 w:val="02020603050405020304"/>
    <w:charset w:val="CC"/>
    <w:family w:val="roman"/>
    <w:pitch w:val="default"/>
    <w:sig w:usb0="00000000" w:usb1="00000000" w:usb2="00000009" w:usb3="00000000" w:csb0="000001FF"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B4DBF">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0D023">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22F8C">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C1E61">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B3053">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67CD7">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D2EFCD"/>
    <w:multiLevelType w:val="singleLevel"/>
    <w:tmpl w:val="48D2EFCD"/>
    <w:lvl w:ilvl="0" w:tentative="0">
      <w:start w:val="4"/>
      <w:numFmt w:val="decimal"/>
      <w:suff w:val="space"/>
      <w:lvlText w:val="%1."/>
      <w:lvlJc w:val="left"/>
    </w:lvl>
  </w:abstractNum>
  <w:abstractNum w:abstractNumId="1">
    <w:nsid w:val="56C0A8FE"/>
    <w:multiLevelType w:val="singleLevel"/>
    <w:tmpl w:val="56C0A8FE"/>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autoHyphenation/>
  <w:drawingGridHorizontalSpacing w:val="10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479"/>
    <w:rsid w:val="00000828"/>
    <w:rsid w:val="0000109F"/>
    <w:rsid w:val="0001019D"/>
    <w:rsid w:val="00011229"/>
    <w:rsid w:val="00021133"/>
    <w:rsid w:val="00031ADC"/>
    <w:rsid w:val="000370D7"/>
    <w:rsid w:val="000400D6"/>
    <w:rsid w:val="0004132F"/>
    <w:rsid w:val="00043F6B"/>
    <w:rsid w:val="000804F7"/>
    <w:rsid w:val="000815F1"/>
    <w:rsid w:val="00082342"/>
    <w:rsid w:val="00082DA8"/>
    <w:rsid w:val="000872A0"/>
    <w:rsid w:val="000925BA"/>
    <w:rsid w:val="000A1106"/>
    <w:rsid w:val="000A22B4"/>
    <w:rsid w:val="000A6016"/>
    <w:rsid w:val="000D6754"/>
    <w:rsid w:val="000E4CBC"/>
    <w:rsid w:val="000F0526"/>
    <w:rsid w:val="000F5076"/>
    <w:rsid w:val="000F7A66"/>
    <w:rsid w:val="00114F0F"/>
    <w:rsid w:val="00123DD9"/>
    <w:rsid w:val="00124D51"/>
    <w:rsid w:val="001265F7"/>
    <w:rsid w:val="001309D9"/>
    <w:rsid w:val="00131CC5"/>
    <w:rsid w:val="001324A3"/>
    <w:rsid w:val="001376E7"/>
    <w:rsid w:val="00137DF4"/>
    <w:rsid w:val="00141074"/>
    <w:rsid w:val="001411D8"/>
    <w:rsid w:val="0014593C"/>
    <w:rsid w:val="001477DD"/>
    <w:rsid w:val="0015082E"/>
    <w:rsid w:val="00164CC0"/>
    <w:rsid w:val="00165417"/>
    <w:rsid w:val="00167B39"/>
    <w:rsid w:val="00173A4D"/>
    <w:rsid w:val="00177DF1"/>
    <w:rsid w:val="00180F57"/>
    <w:rsid w:val="001813F8"/>
    <w:rsid w:val="001A04D6"/>
    <w:rsid w:val="001A3506"/>
    <w:rsid w:val="001A4273"/>
    <w:rsid w:val="001B2599"/>
    <w:rsid w:val="001B5868"/>
    <w:rsid w:val="001B7E88"/>
    <w:rsid w:val="001C5034"/>
    <w:rsid w:val="001E07F6"/>
    <w:rsid w:val="001F07CA"/>
    <w:rsid w:val="002242ED"/>
    <w:rsid w:val="002248AB"/>
    <w:rsid w:val="002274A4"/>
    <w:rsid w:val="0024190C"/>
    <w:rsid w:val="0024436C"/>
    <w:rsid w:val="0026048F"/>
    <w:rsid w:val="00266E47"/>
    <w:rsid w:val="00271D38"/>
    <w:rsid w:val="00283710"/>
    <w:rsid w:val="002930FD"/>
    <w:rsid w:val="00295302"/>
    <w:rsid w:val="002A4AF4"/>
    <w:rsid w:val="002B00B7"/>
    <w:rsid w:val="002B1F7A"/>
    <w:rsid w:val="002B5286"/>
    <w:rsid w:val="002B6146"/>
    <w:rsid w:val="002C6BC8"/>
    <w:rsid w:val="002E3362"/>
    <w:rsid w:val="002F4F6F"/>
    <w:rsid w:val="002F60D4"/>
    <w:rsid w:val="00301A14"/>
    <w:rsid w:val="00304837"/>
    <w:rsid w:val="00304866"/>
    <w:rsid w:val="003206F0"/>
    <w:rsid w:val="003244F8"/>
    <w:rsid w:val="00337617"/>
    <w:rsid w:val="0033766A"/>
    <w:rsid w:val="003423D2"/>
    <w:rsid w:val="00343897"/>
    <w:rsid w:val="0034410F"/>
    <w:rsid w:val="00347555"/>
    <w:rsid w:val="0035253E"/>
    <w:rsid w:val="003529B1"/>
    <w:rsid w:val="0035391C"/>
    <w:rsid w:val="00360250"/>
    <w:rsid w:val="0036605B"/>
    <w:rsid w:val="00370A5B"/>
    <w:rsid w:val="00375B3A"/>
    <w:rsid w:val="0038713F"/>
    <w:rsid w:val="003879AF"/>
    <w:rsid w:val="00394FDA"/>
    <w:rsid w:val="003978ED"/>
    <w:rsid w:val="00397F2B"/>
    <w:rsid w:val="003A5C47"/>
    <w:rsid w:val="003B65E2"/>
    <w:rsid w:val="003D3886"/>
    <w:rsid w:val="003D66F7"/>
    <w:rsid w:val="003D6D9D"/>
    <w:rsid w:val="003E32EC"/>
    <w:rsid w:val="003F4CA3"/>
    <w:rsid w:val="003F5339"/>
    <w:rsid w:val="003F7B13"/>
    <w:rsid w:val="00400943"/>
    <w:rsid w:val="00405857"/>
    <w:rsid w:val="00410963"/>
    <w:rsid w:val="00421111"/>
    <w:rsid w:val="00427645"/>
    <w:rsid w:val="00434094"/>
    <w:rsid w:val="00441DE0"/>
    <w:rsid w:val="004626B1"/>
    <w:rsid w:val="00466072"/>
    <w:rsid w:val="00472720"/>
    <w:rsid w:val="00480806"/>
    <w:rsid w:val="0048393E"/>
    <w:rsid w:val="004926B5"/>
    <w:rsid w:val="00495840"/>
    <w:rsid w:val="00496FE3"/>
    <w:rsid w:val="004A6DB4"/>
    <w:rsid w:val="004A6DB5"/>
    <w:rsid w:val="004C5551"/>
    <w:rsid w:val="004C56CD"/>
    <w:rsid w:val="004C7489"/>
    <w:rsid w:val="004E0B78"/>
    <w:rsid w:val="004E2224"/>
    <w:rsid w:val="004E52B7"/>
    <w:rsid w:val="004F0C97"/>
    <w:rsid w:val="00500B14"/>
    <w:rsid w:val="005044CA"/>
    <w:rsid w:val="00507531"/>
    <w:rsid w:val="00512E8E"/>
    <w:rsid w:val="00513D67"/>
    <w:rsid w:val="00516AD0"/>
    <w:rsid w:val="00526034"/>
    <w:rsid w:val="005315B0"/>
    <w:rsid w:val="00532CA1"/>
    <w:rsid w:val="00532E76"/>
    <w:rsid w:val="00543A92"/>
    <w:rsid w:val="005453AE"/>
    <w:rsid w:val="00553EB4"/>
    <w:rsid w:val="00554D29"/>
    <w:rsid w:val="00560358"/>
    <w:rsid w:val="00562D19"/>
    <w:rsid w:val="00563668"/>
    <w:rsid w:val="005646B5"/>
    <w:rsid w:val="00580FBC"/>
    <w:rsid w:val="00590FD6"/>
    <w:rsid w:val="00595423"/>
    <w:rsid w:val="005A3AEF"/>
    <w:rsid w:val="005A60BE"/>
    <w:rsid w:val="005A79BB"/>
    <w:rsid w:val="005B273A"/>
    <w:rsid w:val="005C0491"/>
    <w:rsid w:val="005C678A"/>
    <w:rsid w:val="005E18FB"/>
    <w:rsid w:val="005E2523"/>
    <w:rsid w:val="005E74BE"/>
    <w:rsid w:val="005E7CF7"/>
    <w:rsid w:val="005E7D58"/>
    <w:rsid w:val="00601AC0"/>
    <w:rsid w:val="006036C5"/>
    <w:rsid w:val="0060557E"/>
    <w:rsid w:val="00605DB3"/>
    <w:rsid w:val="00616835"/>
    <w:rsid w:val="00620F29"/>
    <w:rsid w:val="00621323"/>
    <w:rsid w:val="00626301"/>
    <w:rsid w:val="00627F72"/>
    <w:rsid w:val="006314D8"/>
    <w:rsid w:val="00632082"/>
    <w:rsid w:val="00632A04"/>
    <w:rsid w:val="00633BDC"/>
    <w:rsid w:val="00635AA0"/>
    <w:rsid w:val="00635CDE"/>
    <w:rsid w:val="00643552"/>
    <w:rsid w:val="006579EB"/>
    <w:rsid w:val="00657A51"/>
    <w:rsid w:val="006626D7"/>
    <w:rsid w:val="00670C92"/>
    <w:rsid w:val="00673D89"/>
    <w:rsid w:val="00675194"/>
    <w:rsid w:val="00676DA2"/>
    <w:rsid w:val="00677501"/>
    <w:rsid w:val="006841A0"/>
    <w:rsid w:val="00692098"/>
    <w:rsid w:val="0069471F"/>
    <w:rsid w:val="0069564C"/>
    <w:rsid w:val="006B4037"/>
    <w:rsid w:val="006B6276"/>
    <w:rsid w:val="006D0468"/>
    <w:rsid w:val="006D5F5E"/>
    <w:rsid w:val="006D6AE8"/>
    <w:rsid w:val="006E01F5"/>
    <w:rsid w:val="006E2981"/>
    <w:rsid w:val="006F3B5E"/>
    <w:rsid w:val="006F6099"/>
    <w:rsid w:val="006F60EE"/>
    <w:rsid w:val="00710510"/>
    <w:rsid w:val="00710EBF"/>
    <w:rsid w:val="0071320C"/>
    <w:rsid w:val="00713657"/>
    <w:rsid w:val="0071444E"/>
    <w:rsid w:val="00714AA6"/>
    <w:rsid w:val="0071566C"/>
    <w:rsid w:val="00717580"/>
    <w:rsid w:val="00720AE1"/>
    <w:rsid w:val="007212A0"/>
    <w:rsid w:val="0073075E"/>
    <w:rsid w:val="0074103A"/>
    <w:rsid w:val="0074290F"/>
    <w:rsid w:val="007454A4"/>
    <w:rsid w:val="00751B76"/>
    <w:rsid w:val="00756C4A"/>
    <w:rsid w:val="00765EF3"/>
    <w:rsid w:val="00774524"/>
    <w:rsid w:val="007768F5"/>
    <w:rsid w:val="00781803"/>
    <w:rsid w:val="00786B0F"/>
    <w:rsid w:val="007935C7"/>
    <w:rsid w:val="00795240"/>
    <w:rsid w:val="007976DA"/>
    <w:rsid w:val="007A100E"/>
    <w:rsid w:val="007A7B0B"/>
    <w:rsid w:val="007B2706"/>
    <w:rsid w:val="007B6870"/>
    <w:rsid w:val="007C0F1E"/>
    <w:rsid w:val="007C12D2"/>
    <w:rsid w:val="007C5ABF"/>
    <w:rsid w:val="007D4200"/>
    <w:rsid w:val="007E13DB"/>
    <w:rsid w:val="007E2AA6"/>
    <w:rsid w:val="007E3DC1"/>
    <w:rsid w:val="007E5E85"/>
    <w:rsid w:val="007F2581"/>
    <w:rsid w:val="007F3A5D"/>
    <w:rsid w:val="007F64CD"/>
    <w:rsid w:val="0080799C"/>
    <w:rsid w:val="008102C6"/>
    <w:rsid w:val="00815372"/>
    <w:rsid w:val="00834135"/>
    <w:rsid w:val="00834427"/>
    <w:rsid w:val="00842968"/>
    <w:rsid w:val="00842D1D"/>
    <w:rsid w:val="0084587C"/>
    <w:rsid w:val="008547D0"/>
    <w:rsid w:val="00855B70"/>
    <w:rsid w:val="00860836"/>
    <w:rsid w:val="00862069"/>
    <w:rsid w:val="008754B5"/>
    <w:rsid w:val="0088062A"/>
    <w:rsid w:val="008832B4"/>
    <w:rsid w:val="00883359"/>
    <w:rsid w:val="00883DE3"/>
    <w:rsid w:val="008932A3"/>
    <w:rsid w:val="008A2947"/>
    <w:rsid w:val="008A5376"/>
    <w:rsid w:val="008B2B27"/>
    <w:rsid w:val="008B5D0D"/>
    <w:rsid w:val="008B6BF0"/>
    <w:rsid w:val="008C0882"/>
    <w:rsid w:val="008C5C95"/>
    <w:rsid w:val="008D11CF"/>
    <w:rsid w:val="008E2575"/>
    <w:rsid w:val="008F0E4D"/>
    <w:rsid w:val="008F54A2"/>
    <w:rsid w:val="008F7C87"/>
    <w:rsid w:val="00900230"/>
    <w:rsid w:val="009030B9"/>
    <w:rsid w:val="009077C3"/>
    <w:rsid w:val="009111C1"/>
    <w:rsid w:val="00914EFA"/>
    <w:rsid w:val="00916556"/>
    <w:rsid w:val="009210F1"/>
    <w:rsid w:val="00921475"/>
    <w:rsid w:val="00940242"/>
    <w:rsid w:val="00941DE7"/>
    <w:rsid w:val="00944AC1"/>
    <w:rsid w:val="00954424"/>
    <w:rsid w:val="009633FA"/>
    <w:rsid w:val="00975F37"/>
    <w:rsid w:val="00977EBF"/>
    <w:rsid w:val="0098072C"/>
    <w:rsid w:val="00983B3C"/>
    <w:rsid w:val="009902C9"/>
    <w:rsid w:val="00990479"/>
    <w:rsid w:val="00992E88"/>
    <w:rsid w:val="00994F2F"/>
    <w:rsid w:val="009A4089"/>
    <w:rsid w:val="009B0073"/>
    <w:rsid w:val="009B26A4"/>
    <w:rsid w:val="009B4474"/>
    <w:rsid w:val="009C28A6"/>
    <w:rsid w:val="009C3888"/>
    <w:rsid w:val="009C73E6"/>
    <w:rsid w:val="009D7D09"/>
    <w:rsid w:val="00A11C12"/>
    <w:rsid w:val="00A12B7C"/>
    <w:rsid w:val="00A159B1"/>
    <w:rsid w:val="00A37189"/>
    <w:rsid w:val="00A448DB"/>
    <w:rsid w:val="00A45071"/>
    <w:rsid w:val="00A458B2"/>
    <w:rsid w:val="00A478F4"/>
    <w:rsid w:val="00A560A0"/>
    <w:rsid w:val="00A625A0"/>
    <w:rsid w:val="00A709C2"/>
    <w:rsid w:val="00A876DF"/>
    <w:rsid w:val="00A957B0"/>
    <w:rsid w:val="00A96385"/>
    <w:rsid w:val="00A97F5D"/>
    <w:rsid w:val="00AA0594"/>
    <w:rsid w:val="00AA7014"/>
    <w:rsid w:val="00AB6415"/>
    <w:rsid w:val="00AB7674"/>
    <w:rsid w:val="00AC13F2"/>
    <w:rsid w:val="00AC52DF"/>
    <w:rsid w:val="00AC5FC1"/>
    <w:rsid w:val="00AF1C17"/>
    <w:rsid w:val="00AF68A1"/>
    <w:rsid w:val="00AF7B07"/>
    <w:rsid w:val="00B03095"/>
    <w:rsid w:val="00B040F5"/>
    <w:rsid w:val="00B06B8B"/>
    <w:rsid w:val="00B118DC"/>
    <w:rsid w:val="00B17A27"/>
    <w:rsid w:val="00B21634"/>
    <w:rsid w:val="00B24A41"/>
    <w:rsid w:val="00B30315"/>
    <w:rsid w:val="00B35602"/>
    <w:rsid w:val="00B35733"/>
    <w:rsid w:val="00B3636F"/>
    <w:rsid w:val="00B376B9"/>
    <w:rsid w:val="00B41DCE"/>
    <w:rsid w:val="00B555D9"/>
    <w:rsid w:val="00B569B3"/>
    <w:rsid w:val="00B635B8"/>
    <w:rsid w:val="00B63847"/>
    <w:rsid w:val="00B75247"/>
    <w:rsid w:val="00B82418"/>
    <w:rsid w:val="00B83439"/>
    <w:rsid w:val="00B938E2"/>
    <w:rsid w:val="00B949D4"/>
    <w:rsid w:val="00B94C53"/>
    <w:rsid w:val="00BA5366"/>
    <w:rsid w:val="00BB4C5E"/>
    <w:rsid w:val="00BC065E"/>
    <w:rsid w:val="00BC79E2"/>
    <w:rsid w:val="00BD365A"/>
    <w:rsid w:val="00BD4706"/>
    <w:rsid w:val="00BD6D3A"/>
    <w:rsid w:val="00BE2961"/>
    <w:rsid w:val="00BE5CA0"/>
    <w:rsid w:val="00BE7D2F"/>
    <w:rsid w:val="00BF250B"/>
    <w:rsid w:val="00BF55E5"/>
    <w:rsid w:val="00BF734E"/>
    <w:rsid w:val="00C0346A"/>
    <w:rsid w:val="00C06819"/>
    <w:rsid w:val="00C07478"/>
    <w:rsid w:val="00C12A85"/>
    <w:rsid w:val="00C1443E"/>
    <w:rsid w:val="00C14D40"/>
    <w:rsid w:val="00C16CDC"/>
    <w:rsid w:val="00C37C41"/>
    <w:rsid w:val="00C45ECB"/>
    <w:rsid w:val="00C51108"/>
    <w:rsid w:val="00C6262E"/>
    <w:rsid w:val="00C64D77"/>
    <w:rsid w:val="00C66705"/>
    <w:rsid w:val="00C74E68"/>
    <w:rsid w:val="00C81687"/>
    <w:rsid w:val="00CA1339"/>
    <w:rsid w:val="00CB2B60"/>
    <w:rsid w:val="00CD2A57"/>
    <w:rsid w:val="00CD5A42"/>
    <w:rsid w:val="00CE56CE"/>
    <w:rsid w:val="00CE6373"/>
    <w:rsid w:val="00CE6E13"/>
    <w:rsid w:val="00CF087C"/>
    <w:rsid w:val="00CF0A5A"/>
    <w:rsid w:val="00D065CA"/>
    <w:rsid w:val="00D10F4B"/>
    <w:rsid w:val="00D204BD"/>
    <w:rsid w:val="00D2655E"/>
    <w:rsid w:val="00D44111"/>
    <w:rsid w:val="00D53B4C"/>
    <w:rsid w:val="00D54291"/>
    <w:rsid w:val="00D62CED"/>
    <w:rsid w:val="00D635E0"/>
    <w:rsid w:val="00D700D3"/>
    <w:rsid w:val="00D74215"/>
    <w:rsid w:val="00D74224"/>
    <w:rsid w:val="00D753F0"/>
    <w:rsid w:val="00D76845"/>
    <w:rsid w:val="00D812C6"/>
    <w:rsid w:val="00D817E2"/>
    <w:rsid w:val="00D82C5E"/>
    <w:rsid w:val="00D91D46"/>
    <w:rsid w:val="00D9582C"/>
    <w:rsid w:val="00DA2663"/>
    <w:rsid w:val="00DA61E9"/>
    <w:rsid w:val="00DA72A5"/>
    <w:rsid w:val="00DC2290"/>
    <w:rsid w:val="00DC78D9"/>
    <w:rsid w:val="00DD3ADC"/>
    <w:rsid w:val="00DD654A"/>
    <w:rsid w:val="00DD6D0F"/>
    <w:rsid w:val="00DD6EFB"/>
    <w:rsid w:val="00DD7752"/>
    <w:rsid w:val="00DE062E"/>
    <w:rsid w:val="00DE3CFC"/>
    <w:rsid w:val="00DF12A5"/>
    <w:rsid w:val="00DF57AC"/>
    <w:rsid w:val="00DF779B"/>
    <w:rsid w:val="00E0205F"/>
    <w:rsid w:val="00E04828"/>
    <w:rsid w:val="00E04CBA"/>
    <w:rsid w:val="00E05981"/>
    <w:rsid w:val="00E10A81"/>
    <w:rsid w:val="00E10FB9"/>
    <w:rsid w:val="00E1240C"/>
    <w:rsid w:val="00E20FE1"/>
    <w:rsid w:val="00E24325"/>
    <w:rsid w:val="00E529FE"/>
    <w:rsid w:val="00E579F9"/>
    <w:rsid w:val="00E707D5"/>
    <w:rsid w:val="00E77FE6"/>
    <w:rsid w:val="00E84641"/>
    <w:rsid w:val="00E96808"/>
    <w:rsid w:val="00EA0684"/>
    <w:rsid w:val="00EC76C0"/>
    <w:rsid w:val="00ED6E60"/>
    <w:rsid w:val="00EE11F3"/>
    <w:rsid w:val="00EE6649"/>
    <w:rsid w:val="00EE6E4B"/>
    <w:rsid w:val="00EF5D5A"/>
    <w:rsid w:val="00F03D57"/>
    <w:rsid w:val="00F04532"/>
    <w:rsid w:val="00F046B6"/>
    <w:rsid w:val="00F05B43"/>
    <w:rsid w:val="00F15EDC"/>
    <w:rsid w:val="00F20B92"/>
    <w:rsid w:val="00F215C4"/>
    <w:rsid w:val="00F33015"/>
    <w:rsid w:val="00F41DFD"/>
    <w:rsid w:val="00F42BE6"/>
    <w:rsid w:val="00F466A9"/>
    <w:rsid w:val="00F61DE2"/>
    <w:rsid w:val="00F62AE8"/>
    <w:rsid w:val="00F73E84"/>
    <w:rsid w:val="00F771A8"/>
    <w:rsid w:val="00F77C3F"/>
    <w:rsid w:val="00F8263F"/>
    <w:rsid w:val="00F83091"/>
    <w:rsid w:val="00F92D5D"/>
    <w:rsid w:val="00F9393B"/>
    <w:rsid w:val="00F955CD"/>
    <w:rsid w:val="00FA31EF"/>
    <w:rsid w:val="00FA71A9"/>
    <w:rsid w:val="00FB1605"/>
    <w:rsid w:val="00FC3D35"/>
    <w:rsid w:val="00FD1DB0"/>
    <w:rsid w:val="00FD3E55"/>
    <w:rsid w:val="00FE3798"/>
    <w:rsid w:val="00FE53FF"/>
    <w:rsid w:val="00FF1655"/>
    <w:rsid w:val="00FF303A"/>
    <w:rsid w:val="00FF31D1"/>
    <w:rsid w:val="00FF3BC9"/>
    <w:rsid w:val="06EC5831"/>
    <w:rsid w:val="0E520D30"/>
    <w:rsid w:val="26EA2F0E"/>
    <w:rsid w:val="2A234B12"/>
    <w:rsid w:val="2B0D2A7D"/>
    <w:rsid w:val="37861660"/>
    <w:rsid w:val="41F1185F"/>
    <w:rsid w:val="4800737A"/>
    <w:rsid w:val="49FB4250"/>
    <w:rsid w:val="4DD162DD"/>
    <w:rsid w:val="51957AF9"/>
    <w:rsid w:val="6A4950DE"/>
    <w:rsid w:val="6C725051"/>
    <w:rsid w:val="6DCB7683"/>
    <w:rsid w:val="7CD5179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cs="Times New Roman" w:asciiTheme="minorHAnsi" w:hAnsiTheme="minorHAnsi" w:eastAsiaTheme="minorEastAsia"/>
      <w:sz w:val="24"/>
      <w:szCs w:val="24"/>
      <w:lang w:val="ru-RU" w:eastAsia="ru-RU" w:bidi="ar-SA"/>
    </w:rPr>
  </w:style>
  <w:style w:type="paragraph" w:styleId="2">
    <w:name w:val="heading 1"/>
    <w:basedOn w:val="1"/>
    <w:next w:val="1"/>
    <w:link w:val="36"/>
    <w:qFormat/>
    <w:uiPriority w:val="9"/>
    <w:pPr>
      <w:keepNext/>
      <w:spacing w:before="240" w:after="60"/>
      <w:outlineLvl w:val="0"/>
    </w:pPr>
    <w:rPr>
      <w:rFonts w:asciiTheme="majorHAnsi" w:hAnsiTheme="majorHAnsi" w:eastAsiaTheme="majorEastAsia" w:cstheme="majorBidi"/>
      <w:b/>
      <w:bCs/>
      <w:kern w:val="32"/>
      <w:sz w:val="32"/>
      <w:szCs w:val="32"/>
    </w:rPr>
  </w:style>
  <w:style w:type="paragraph" w:styleId="3">
    <w:name w:val="heading 2"/>
    <w:basedOn w:val="1"/>
    <w:next w:val="1"/>
    <w:link w:val="37"/>
    <w:unhideWhenUsed/>
    <w:qFormat/>
    <w:uiPriority w:val="9"/>
    <w:pPr>
      <w:keepNext/>
      <w:spacing w:before="240" w:after="60"/>
      <w:outlineLvl w:val="1"/>
    </w:pPr>
    <w:rPr>
      <w:rFonts w:asciiTheme="majorHAnsi" w:hAnsiTheme="majorHAnsi" w:eastAsiaTheme="majorEastAsia" w:cstheme="majorBidi"/>
      <w:b/>
      <w:bCs/>
      <w:i/>
      <w:iCs/>
      <w:sz w:val="28"/>
      <w:szCs w:val="28"/>
    </w:rPr>
  </w:style>
  <w:style w:type="paragraph" w:styleId="4">
    <w:name w:val="heading 3"/>
    <w:basedOn w:val="1"/>
    <w:next w:val="1"/>
    <w:link w:val="32"/>
    <w:unhideWhenUsed/>
    <w:qFormat/>
    <w:uiPriority w:val="9"/>
    <w:pPr>
      <w:keepNext/>
      <w:spacing w:before="240" w:after="60"/>
      <w:outlineLvl w:val="2"/>
    </w:pPr>
    <w:rPr>
      <w:rFonts w:asciiTheme="majorHAnsi" w:hAnsiTheme="majorHAnsi" w:eastAsiaTheme="majorEastAsia" w:cstheme="majorBidi"/>
      <w:b/>
      <w:bCs/>
      <w:sz w:val="26"/>
      <w:szCs w:val="26"/>
    </w:rPr>
  </w:style>
  <w:style w:type="paragraph" w:styleId="5">
    <w:name w:val="heading 4"/>
    <w:basedOn w:val="1"/>
    <w:next w:val="1"/>
    <w:link w:val="38"/>
    <w:semiHidden/>
    <w:unhideWhenUsed/>
    <w:qFormat/>
    <w:uiPriority w:val="9"/>
    <w:pPr>
      <w:keepNext/>
      <w:spacing w:before="240" w:after="60"/>
      <w:outlineLvl w:val="3"/>
    </w:pPr>
    <w:rPr>
      <w:b/>
      <w:bCs/>
      <w:sz w:val="28"/>
      <w:szCs w:val="28"/>
    </w:rPr>
  </w:style>
  <w:style w:type="paragraph" w:styleId="6">
    <w:name w:val="heading 5"/>
    <w:basedOn w:val="1"/>
    <w:next w:val="1"/>
    <w:link w:val="39"/>
    <w:semiHidden/>
    <w:unhideWhenUsed/>
    <w:qFormat/>
    <w:uiPriority w:val="9"/>
    <w:pPr>
      <w:spacing w:before="240" w:after="60"/>
      <w:outlineLvl w:val="4"/>
    </w:pPr>
    <w:rPr>
      <w:b/>
      <w:bCs/>
      <w:i/>
      <w:iCs/>
      <w:sz w:val="26"/>
      <w:szCs w:val="26"/>
    </w:rPr>
  </w:style>
  <w:style w:type="paragraph" w:styleId="7">
    <w:name w:val="heading 6"/>
    <w:basedOn w:val="1"/>
    <w:next w:val="1"/>
    <w:link w:val="40"/>
    <w:semiHidden/>
    <w:unhideWhenUsed/>
    <w:qFormat/>
    <w:uiPriority w:val="9"/>
    <w:pPr>
      <w:spacing w:before="240" w:after="60"/>
      <w:outlineLvl w:val="5"/>
    </w:pPr>
    <w:rPr>
      <w:b/>
      <w:bCs/>
      <w:sz w:val="22"/>
      <w:szCs w:val="22"/>
    </w:rPr>
  </w:style>
  <w:style w:type="paragraph" w:styleId="8">
    <w:name w:val="heading 7"/>
    <w:basedOn w:val="1"/>
    <w:next w:val="1"/>
    <w:link w:val="41"/>
    <w:semiHidden/>
    <w:unhideWhenUsed/>
    <w:qFormat/>
    <w:uiPriority w:val="9"/>
    <w:pPr>
      <w:spacing w:before="240" w:after="60"/>
      <w:outlineLvl w:val="6"/>
    </w:pPr>
    <w:rPr>
      <w:rFonts w:cstheme="majorBidi"/>
    </w:rPr>
  </w:style>
  <w:style w:type="paragraph" w:styleId="9">
    <w:name w:val="heading 8"/>
    <w:basedOn w:val="1"/>
    <w:next w:val="1"/>
    <w:link w:val="42"/>
    <w:semiHidden/>
    <w:unhideWhenUsed/>
    <w:qFormat/>
    <w:uiPriority w:val="9"/>
    <w:pPr>
      <w:spacing w:before="240" w:after="60"/>
      <w:outlineLvl w:val="7"/>
    </w:pPr>
    <w:rPr>
      <w:i/>
      <w:iCs/>
    </w:rPr>
  </w:style>
  <w:style w:type="paragraph" w:styleId="10">
    <w:name w:val="heading 9"/>
    <w:basedOn w:val="1"/>
    <w:next w:val="1"/>
    <w:link w:val="43"/>
    <w:semiHidden/>
    <w:unhideWhenUsed/>
    <w:qFormat/>
    <w:uiPriority w:val="9"/>
    <w:pPr>
      <w:spacing w:before="240" w:after="60"/>
      <w:outlineLvl w:val="8"/>
    </w:pPr>
    <w:rPr>
      <w:rFonts w:asciiTheme="majorHAnsi" w:hAnsiTheme="majorHAnsi" w:eastAsiaTheme="majorEastAsia" w:cstheme="majorBidi"/>
      <w:sz w:val="22"/>
      <w:szCs w:val="22"/>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rFonts w:asciiTheme="minorHAnsi" w:hAnsiTheme="minorHAnsi"/>
      <w:b/>
      <w:i/>
      <w:iCs/>
    </w:rPr>
  </w:style>
  <w:style w:type="character" w:styleId="14">
    <w:name w:val="Hyperlink"/>
    <w:basedOn w:val="11"/>
    <w:unhideWhenUsed/>
    <w:qFormat/>
    <w:uiPriority w:val="99"/>
    <w:rPr>
      <w:color w:val="0000FF"/>
      <w:u w:val="single"/>
    </w:rPr>
  </w:style>
  <w:style w:type="character" w:styleId="15">
    <w:name w:val="Strong"/>
    <w:basedOn w:val="11"/>
    <w:qFormat/>
    <w:uiPriority w:val="22"/>
    <w:rPr>
      <w:b/>
      <w:bCs/>
    </w:rPr>
  </w:style>
  <w:style w:type="paragraph" w:styleId="16">
    <w:name w:val="Balloon Text"/>
    <w:basedOn w:val="1"/>
    <w:semiHidden/>
    <w:qFormat/>
    <w:uiPriority w:val="0"/>
    <w:rPr>
      <w:rFonts w:ascii="Tahoma" w:hAnsi="Tahoma" w:cs="Tahoma"/>
      <w:sz w:val="16"/>
      <w:szCs w:val="16"/>
    </w:rPr>
  </w:style>
  <w:style w:type="paragraph" w:styleId="17">
    <w:name w:val="caption"/>
    <w:basedOn w:val="1"/>
    <w:next w:val="1"/>
    <w:semiHidden/>
    <w:unhideWhenUsed/>
    <w:qFormat/>
    <w:uiPriority w:val="35"/>
    <w:pPr>
      <w:spacing w:after="200"/>
    </w:pPr>
    <w:rPr>
      <w:i/>
      <w:iCs/>
      <w:color w:val="44546A" w:themeColor="text2"/>
      <w:sz w:val="18"/>
      <w:szCs w:val="18"/>
      <w14:textFill>
        <w14:solidFill>
          <w14:schemeClr w14:val="tx2"/>
        </w14:solidFill>
      </w14:textFill>
    </w:rPr>
  </w:style>
  <w:style w:type="paragraph" w:styleId="18">
    <w:name w:val="header"/>
    <w:basedOn w:val="1"/>
    <w:link w:val="66"/>
    <w:unhideWhenUsed/>
    <w:qFormat/>
    <w:uiPriority w:val="0"/>
    <w:pPr>
      <w:tabs>
        <w:tab w:val="center" w:pos="4677"/>
        <w:tab w:val="right" w:pos="9355"/>
      </w:tabs>
    </w:pPr>
  </w:style>
  <w:style w:type="paragraph" w:styleId="19">
    <w:name w:val="Body Text"/>
    <w:basedOn w:val="1"/>
    <w:qFormat/>
    <w:uiPriority w:val="0"/>
    <w:rPr>
      <w:sz w:val="28"/>
    </w:rPr>
  </w:style>
  <w:style w:type="paragraph" w:styleId="20">
    <w:name w:val="Body Text Indent"/>
    <w:basedOn w:val="1"/>
    <w:link w:val="30"/>
    <w:qFormat/>
    <w:uiPriority w:val="0"/>
    <w:pPr>
      <w:spacing w:after="120"/>
      <w:ind w:left="283"/>
    </w:pPr>
  </w:style>
  <w:style w:type="paragraph" w:styleId="21">
    <w:name w:val="Title"/>
    <w:basedOn w:val="1"/>
    <w:next w:val="1"/>
    <w:link w:val="44"/>
    <w:qFormat/>
    <w:uiPriority w:val="10"/>
    <w:pPr>
      <w:spacing w:before="240" w:after="60"/>
      <w:jc w:val="center"/>
      <w:outlineLvl w:val="0"/>
    </w:pPr>
    <w:rPr>
      <w:rFonts w:asciiTheme="majorHAnsi" w:hAnsiTheme="majorHAnsi" w:eastAsiaTheme="majorEastAsia" w:cstheme="majorBidi"/>
      <w:b/>
      <w:bCs/>
      <w:kern w:val="28"/>
      <w:sz w:val="32"/>
      <w:szCs w:val="32"/>
    </w:rPr>
  </w:style>
  <w:style w:type="paragraph" w:styleId="22">
    <w:name w:val="footer"/>
    <w:basedOn w:val="1"/>
    <w:link w:val="67"/>
    <w:unhideWhenUsed/>
    <w:qFormat/>
    <w:uiPriority w:val="0"/>
    <w:pPr>
      <w:tabs>
        <w:tab w:val="center" w:pos="4677"/>
        <w:tab w:val="right" w:pos="9355"/>
      </w:tabs>
    </w:pPr>
  </w:style>
  <w:style w:type="paragraph" w:styleId="23">
    <w:name w:val="Normal (Web)"/>
    <w:basedOn w:val="1"/>
    <w:qFormat/>
    <w:uiPriority w:val="0"/>
    <w:pPr>
      <w:spacing w:before="100" w:beforeAutospacing="1" w:after="100" w:afterAutospacing="1"/>
    </w:pPr>
    <w:rPr>
      <w:rFonts w:ascii="Tahoma" w:hAnsi="Tahoma" w:cs="Tahoma"/>
      <w:sz w:val="26"/>
      <w:szCs w:val="26"/>
    </w:rPr>
  </w:style>
  <w:style w:type="paragraph" w:styleId="24">
    <w:name w:val="Subtitle"/>
    <w:basedOn w:val="1"/>
    <w:next w:val="1"/>
    <w:link w:val="45"/>
    <w:qFormat/>
    <w:uiPriority w:val="11"/>
    <w:pPr>
      <w:spacing w:after="60"/>
      <w:jc w:val="center"/>
      <w:outlineLvl w:val="1"/>
    </w:pPr>
    <w:rPr>
      <w:rFonts w:asciiTheme="majorHAnsi" w:hAnsiTheme="majorHAnsi" w:eastAsiaTheme="majorEastAsia"/>
    </w:rPr>
  </w:style>
  <w:style w:type="table" w:styleId="25">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
    <w:name w:val="apple-converted-space"/>
    <w:basedOn w:val="11"/>
    <w:qFormat/>
    <w:uiPriority w:val="0"/>
  </w:style>
  <w:style w:type="paragraph" w:customStyle="1" w:styleId="27">
    <w:name w:val="ConsPlusTitle"/>
    <w:qFormat/>
    <w:uiPriority w:val="0"/>
    <w:pPr>
      <w:autoSpaceDE w:val="0"/>
      <w:autoSpaceDN w:val="0"/>
      <w:adjustRightInd w:val="0"/>
    </w:pPr>
    <w:rPr>
      <w:rFonts w:cs="Times New Roman" w:asciiTheme="minorHAnsi" w:hAnsiTheme="minorHAnsi" w:eastAsiaTheme="minorEastAsia"/>
      <w:b/>
      <w:bCs/>
      <w:sz w:val="24"/>
      <w:szCs w:val="24"/>
      <w:lang w:val="ru-RU" w:eastAsia="ru-RU" w:bidi="ar-SA"/>
    </w:rPr>
  </w:style>
  <w:style w:type="paragraph" w:customStyle="1" w:styleId="28">
    <w:name w:val="ConsPlusCell"/>
    <w:qFormat/>
    <w:uiPriority w:val="0"/>
    <w:pPr>
      <w:autoSpaceDE w:val="0"/>
      <w:autoSpaceDN w:val="0"/>
      <w:adjustRightInd w:val="0"/>
    </w:pPr>
    <w:rPr>
      <w:rFonts w:cs="Times New Roman" w:asciiTheme="minorHAnsi" w:hAnsiTheme="minorHAnsi" w:eastAsiaTheme="minorEastAsia"/>
      <w:sz w:val="24"/>
      <w:szCs w:val="24"/>
      <w:lang w:val="ru-RU" w:eastAsia="ru-RU" w:bidi="ar-SA"/>
    </w:rPr>
  </w:style>
  <w:style w:type="paragraph" w:customStyle="1" w:styleId="29">
    <w:name w:val="стиль2"/>
    <w:basedOn w:val="1"/>
    <w:qFormat/>
    <w:uiPriority w:val="0"/>
    <w:pPr>
      <w:spacing w:before="100" w:beforeAutospacing="1" w:after="100" w:afterAutospacing="1"/>
    </w:pPr>
    <w:rPr>
      <w:rFonts w:ascii="Tahoma" w:hAnsi="Tahoma" w:cs="Tahoma"/>
      <w:sz w:val="26"/>
      <w:szCs w:val="26"/>
    </w:rPr>
  </w:style>
  <w:style w:type="character" w:customStyle="1" w:styleId="30">
    <w:name w:val="Основной текст с отступом Знак"/>
    <w:basedOn w:val="11"/>
    <w:link w:val="20"/>
    <w:qFormat/>
    <w:uiPriority w:val="0"/>
  </w:style>
  <w:style w:type="paragraph" w:customStyle="1" w:styleId="31">
    <w:name w:val="ConsPlusNonformat"/>
    <w:qFormat/>
    <w:uiPriority w:val="0"/>
    <w:pPr>
      <w:widowControl w:val="0"/>
      <w:autoSpaceDE w:val="0"/>
      <w:autoSpaceDN w:val="0"/>
      <w:adjustRightInd w:val="0"/>
    </w:pPr>
    <w:rPr>
      <w:rFonts w:ascii="Courier New" w:hAnsi="Courier New" w:eastAsia="MS Mincho" w:cs="Courier New"/>
      <w:sz w:val="22"/>
      <w:szCs w:val="22"/>
      <w:lang w:val="ru-RU" w:eastAsia="ru-RU" w:bidi="ar-SA"/>
    </w:rPr>
  </w:style>
  <w:style w:type="character" w:customStyle="1" w:styleId="32">
    <w:name w:val="Заголовок 3 Знак"/>
    <w:basedOn w:val="11"/>
    <w:link w:val="4"/>
    <w:qFormat/>
    <w:uiPriority w:val="9"/>
    <w:rPr>
      <w:rFonts w:asciiTheme="majorHAnsi" w:hAnsiTheme="majorHAnsi" w:eastAsiaTheme="majorEastAsia" w:cstheme="majorBidi"/>
      <w:b/>
      <w:bCs/>
      <w:sz w:val="26"/>
      <w:szCs w:val="26"/>
    </w:rPr>
  </w:style>
  <w:style w:type="paragraph" w:customStyle="1" w:styleId="33">
    <w:name w:val="formattext"/>
    <w:basedOn w:val="1"/>
    <w:qFormat/>
    <w:uiPriority w:val="0"/>
    <w:pPr>
      <w:spacing w:before="100" w:beforeAutospacing="1" w:after="100" w:afterAutospacing="1"/>
    </w:pPr>
  </w:style>
  <w:style w:type="character" w:customStyle="1" w:styleId="34">
    <w:name w:val="Subtle Emphasis"/>
    <w:qFormat/>
    <w:uiPriority w:val="19"/>
    <w:rPr>
      <w:i/>
      <w:color w:val="595959" w:themeColor="text1" w:themeTint="A6"/>
      <w14:textFill>
        <w14:solidFill>
          <w14:schemeClr w14:val="tx1">
            <w14:lumMod w14:val="65000"/>
            <w14:lumOff w14:val="35000"/>
          </w14:schemeClr>
        </w14:solidFill>
      </w14:textFill>
    </w:rPr>
  </w:style>
  <w:style w:type="paragraph" w:customStyle="1" w:styleId="35">
    <w:name w:val="ConsPlusNormal"/>
    <w:link w:val="59"/>
    <w:qFormat/>
    <w:uiPriority w:val="0"/>
    <w:pPr>
      <w:widowControl w:val="0"/>
      <w:autoSpaceDE w:val="0"/>
      <w:autoSpaceDN w:val="0"/>
    </w:pPr>
    <w:rPr>
      <w:rFonts w:ascii="Calibri" w:hAnsi="Calibri" w:cs="Calibri" w:eastAsiaTheme="minorEastAsia"/>
      <w:sz w:val="22"/>
      <w:szCs w:val="22"/>
      <w:lang w:val="ru-RU" w:eastAsia="ru-RU" w:bidi="ar-SA"/>
    </w:rPr>
  </w:style>
  <w:style w:type="character" w:customStyle="1" w:styleId="36">
    <w:name w:val="Заголовок 1 Знак"/>
    <w:basedOn w:val="11"/>
    <w:link w:val="2"/>
    <w:qFormat/>
    <w:uiPriority w:val="9"/>
    <w:rPr>
      <w:rFonts w:asciiTheme="majorHAnsi" w:hAnsiTheme="majorHAnsi" w:eastAsiaTheme="majorEastAsia" w:cstheme="majorBidi"/>
      <w:b/>
      <w:bCs/>
      <w:kern w:val="32"/>
      <w:sz w:val="32"/>
      <w:szCs w:val="32"/>
    </w:rPr>
  </w:style>
  <w:style w:type="character" w:customStyle="1" w:styleId="37">
    <w:name w:val="Заголовок 2 Знак"/>
    <w:basedOn w:val="11"/>
    <w:link w:val="3"/>
    <w:qFormat/>
    <w:uiPriority w:val="9"/>
    <w:rPr>
      <w:rFonts w:asciiTheme="majorHAnsi" w:hAnsiTheme="majorHAnsi" w:eastAsiaTheme="majorEastAsia" w:cstheme="majorBidi"/>
      <w:b/>
      <w:bCs/>
      <w:i/>
      <w:iCs/>
      <w:sz w:val="28"/>
      <w:szCs w:val="28"/>
    </w:rPr>
  </w:style>
  <w:style w:type="character" w:customStyle="1" w:styleId="38">
    <w:name w:val="Заголовок 4 Знак"/>
    <w:basedOn w:val="11"/>
    <w:link w:val="5"/>
    <w:semiHidden/>
    <w:qFormat/>
    <w:uiPriority w:val="9"/>
    <w:rPr>
      <w:b/>
      <w:bCs/>
      <w:sz w:val="28"/>
      <w:szCs w:val="28"/>
    </w:rPr>
  </w:style>
  <w:style w:type="character" w:customStyle="1" w:styleId="39">
    <w:name w:val="Заголовок 5 Знак"/>
    <w:basedOn w:val="11"/>
    <w:link w:val="6"/>
    <w:semiHidden/>
    <w:qFormat/>
    <w:uiPriority w:val="9"/>
    <w:rPr>
      <w:b/>
      <w:bCs/>
      <w:i/>
      <w:iCs/>
      <w:sz w:val="26"/>
      <w:szCs w:val="26"/>
    </w:rPr>
  </w:style>
  <w:style w:type="character" w:customStyle="1" w:styleId="40">
    <w:name w:val="Заголовок 6 Знак"/>
    <w:basedOn w:val="11"/>
    <w:link w:val="7"/>
    <w:semiHidden/>
    <w:qFormat/>
    <w:uiPriority w:val="9"/>
    <w:rPr>
      <w:b/>
      <w:bCs/>
    </w:rPr>
  </w:style>
  <w:style w:type="character" w:customStyle="1" w:styleId="41">
    <w:name w:val="Заголовок 7 Знак"/>
    <w:basedOn w:val="11"/>
    <w:link w:val="8"/>
    <w:semiHidden/>
    <w:qFormat/>
    <w:uiPriority w:val="9"/>
    <w:rPr>
      <w:rFonts w:cstheme="majorBidi"/>
      <w:sz w:val="24"/>
      <w:szCs w:val="24"/>
    </w:rPr>
  </w:style>
  <w:style w:type="character" w:customStyle="1" w:styleId="42">
    <w:name w:val="Заголовок 8 Знак"/>
    <w:basedOn w:val="11"/>
    <w:link w:val="9"/>
    <w:semiHidden/>
    <w:qFormat/>
    <w:uiPriority w:val="9"/>
    <w:rPr>
      <w:i/>
      <w:iCs/>
      <w:sz w:val="24"/>
      <w:szCs w:val="24"/>
    </w:rPr>
  </w:style>
  <w:style w:type="character" w:customStyle="1" w:styleId="43">
    <w:name w:val="Заголовок 9 Знак"/>
    <w:basedOn w:val="11"/>
    <w:link w:val="10"/>
    <w:semiHidden/>
    <w:qFormat/>
    <w:uiPriority w:val="9"/>
    <w:rPr>
      <w:rFonts w:asciiTheme="majorHAnsi" w:hAnsiTheme="majorHAnsi" w:eastAsiaTheme="majorEastAsia" w:cstheme="majorBidi"/>
    </w:rPr>
  </w:style>
  <w:style w:type="character" w:customStyle="1" w:styleId="44">
    <w:name w:val="Заголовок Знак"/>
    <w:basedOn w:val="11"/>
    <w:link w:val="21"/>
    <w:qFormat/>
    <w:uiPriority w:val="10"/>
    <w:rPr>
      <w:rFonts w:asciiTheme="majorHAnsi" w:hAnsiTheme="majorHAnsi" w:eastAsiaTheme="majorEastAsia" w:cstheme="majorBidi"/>
      <w:b/>
      <w:bCs/>
      <w:kern w:val="28"/>
      <w:sz w:val="32"/>
      <w:szCs w:val="32"/>
    </w:rPr>
  </w:style>
  <w:style w:type="character" w:customStyle="1" w:styleId="45">
    <w:name w:val="Подзаголовок Знак"/>
    <w:basedOn w:val="11"/>
    <w:link w:val="24"/>
    <w:qFormat/>
    <w:uiPriority w:val="11"/>
    <w:rPr>
      <w:rFonts w:asciiTheme="majorHAnsi" w:hAnsiTheme="majorHAnsi" w:eastAsiaTheme="majorEastAsia"/>
      <w:sz w:val="24"/>
      <w:szCs w:val="24"/>
    </w:rPr>
  </w:style>
  <w:style w:type="paragraph" w:styleId="46">
    <w:name w:val="No Spacing"/>
    <w:basedOn w:val="1"/>
    <w:link w:val="61"/>
    <w:qFormat/>
    <w:uiPriority w:val="1"/>
    <w:rPr>
      <w:szCs w:val="32"/>
    </w:rPr>
  </w:style>
  <w:style w:type="paragraph" w:styleId="47">
    <w:name w:val="Quote"/>
    <w:basedOn w:val="1"/>
    <w:next w:val="1"/>
    <w:link w:val="48"/>
    <w:qFormat/>
    <w:uiPriority w:val="29"/>
    <w:rPr>
      <w:i/>
    </w:rPr>
  </w:style>
  <w:style w:type="character" w:customStyle="1" w:styleId="48">
    <w:name w:val="Цитата 2 Знак"/>
    <w:basedOn w:val="11"/>
    <w:link w:val="47"/>
    <w:qFormat/>
    <w:uiPriority w:val="29"/>
    <w:rPr>
      <w:i/>
      <w:sz w:val="24"/>
      <w:szCs w:val="24"/>
    </w:rPr>
  </w:style>
  <w:style w:type="paragraph" w:styleId="49">
    <w:name w:val="Intense Quote"/>
    <w:basedOn w:val="1"/>
    <w:next w:val="1"/>
    <w:link w:val="50"/>
    <w:qFormat/>
    <w:uiPriority w:val="30"/>
    <w:pPr>
      <w:ind w:left="720" w:right="720"/>
    </w:pPr>
    <w:rPr>
      <w:b/>
      <w:i/>
      <w:szCs w:val="22"/>
    </w:rPr>
  </w:style>
  <w:style w:type="character" w:customStyle="1" w:styleId="50">
    <w:name w:val="Выделенная цитата Знак"/>
    <w:basedOn w:val="11"/>
    <w:link w:val="49"/>
    <w:qFormat/>
    <w:uiPriority w:val="30"/>
    <w:rPr>
      <w:b/>
      <w:i/>
      <w:sz w:val="24"/>
    </w:rPr>
  </w:style>
  <w:style w:type="character" w:customStyle="1" w:styleId="51">
    <w:name w:val="Intense Emphasis"/>
    <w:basedOn w:val="11"/>
    <w:qFormat/>
    <w:uiPriority w:val="21"/>
    <w:rPr>
      <w:b/>
      <w:i/>
      <w:sz w:val="24"/>
      <w:szCs w:val="24"/>
      <w:u w:val="single"/>
    </w:rPr>
  </w:style>
  <w:style w:type="character" w:customStyle="1" w:styleId="52">
    <w:name w:val="Subtle Reference"/>
    <w:basedOn w:val="11"/>
    <w:qFormat/>
    <w:uiPriority w:val="31"/>
    <w:rPr>
      <w:sz w:val="24"/>
      <w:szCs w:val="24"/>
      <w:u w:val="single"/>
    </w:rPr>
  </w:style>
  <w:style w:type="character" w:customStyle="1" w:styleId="53">
    <w:name w:val="Intense Reference"/>
    <w:basedOn w:val="11"/>
    <w:qFormat/>
    <w:uiPriority w:val="32"/>
    <w:rPr>
      <w:b/>
      <w:sz w:val="24"/>
      <w:u w:val="single"/>
    </w:rPr>
  </w:style>
  <w:style w:type="character" w:customStyle="1" w:styleId="54">
    <w:name w:val="Book Title"/>
    <w:basedOn w:val="11"/>
    <w:qFormat/>
    <w:uiPriority w:val="33"/>
    <w:rPr>
      <w:rFonts w:asciiTheme="majorHAnsi" w:hAnsiTheme="majorHAnsi" w:eastAsiaTheme="majorEastAsia"/>
      <w:b/>
      <w:i/>
      <w:sz w:val="24"/>
      <w:szCs w:val="24"/>
    </w:rPr>
  </w:style>
  <w:style w:type="paragraph" w:customStyle="1" w:styleId="55">
    <w:name w:val="TOC Heading"/>
    <w:basedOn w:val="2"/>
    <w:next w:val="1"/>
    <w:semiHidden/>
    <w:unhideWhenUsed/>
    <w:qFormat/>
    <w:uiPriority w:val="39"/>
    <w:pPr>
      <w:outlineLvl w:val="9"/>
    </w:pPr>
  </w:style>
  <w:style w:type="paragraph" w:styleId="56">
    <w:name w:val="List Paragraph"/>
    <w:basedOn w:val="1"/>
    <w:qFormat/>
    <w:uiPriority w:val="34"/>
    <w:pPr>
      <w:ind w:left="720"/>
      <w:contextualSpacing/>
    </w:pPr>
  </w:style>
  <w:style w:type="character" w:customStyle="1" w:styleId="57">
    <w:name w:val="Основной текст_"/>
    <w:basedOn w:val="11"/>
    <w:link w:val="58"/>
    <w:qFormat/>
    <w:uiPriority w:val="0"/>
    <w:rPr>
      <w:rFonts w:ascii="Times New Roman" w:hAnsi="Times New Roman" w:eastAsia="Times New Roman" w:cs="Times New Roman"/>
      <w:sz w:val="28"/>
      <w:szCs w:val="28"/>
      <w:shd w:val="clear" w:color="auto" w:fill="FFFFFF"/>
    </w:rPr>
  </w:style>
  <w:style w:type="paragraph" w:customStyle="1" w:styleId="58">
    <w:name w:val="Основной текст1"/>
    <w:basedOn w:val="1"/>
    <w:link w:val="57"/>
    <w:qFormat/>
    <w:uiPriority w:val="0"/>
    <w:pPr>
      <w:widowControl w:val="0"/>
      <w:shd w:val="clear" w:color="auto" w:fill="FFFFFF"/>
      <w:spacing w:line="360" w:lineRule="auto"/>
      <w:ind w:firstLine="400"/>
    </w:pPr>
    <w:rPr>
      <w:rFonts w:ascii="Times New Roman" w:hAnsi="Times New Roman" w:eastAsia="Times New Roman"/>
      <w:sz w:val="28"/>
      <w:szCs w:val="28"/>
    </w:rPr>
  </w:style>
  <w:style w:type="character" w:customStyle="1" w:styleId="59">
    <w:name w:val="ConsPlusNormal Знак"/>
    <w:link w:val="35"/>
    <w:qFormat/>
    <w:locked/>
    <w:uiPriority w:val="0"/>
    <w:rPr>
      <w:rFonts w:ascii="Calibri" w:hAnsi="Calibri" w:cs="Calibri"/>
    </w:rPr>
  </w:style>
  <w:style w:type="paragraph" w:customStyle="1" w:styleId="60">
    <w:name w:val="_Style 57"/>
    <w:basedOn w:val="1"/>
    <w:next w:val="23"/>
    <w:unhideWhenUsed/>
    <w:qFormat/>
    <w:uiPriority w:val="99"/>
    <w:pPr>
      <w:spacing w:before="100" w:beforeAutospacing="1" w:after="100" w:afterAutospacing="1"/>
    </w:pPr>
    <w:rPr>
      <w:rFonts w:ascii="Times New Roman" w:hAnsi="Times New Roman" w:eastAsia="Times New Roman"/>
    </w:rPr>
  </w:style>
  <w:style w:type="character" w:customStyle="1" w:styleId="61">
    <w:name w:val="Без интервала Знак"/>
    <w:link w:val="46"/>
    <w:qFormat/>
    <w:locked/>
    <w:uiPriority w:val="1"/>
    <w:rPr>
      <w:sz w:val="24"/>
      <w:szCs w:val="32"/>
    </w:rPr>
  </w:style>
  <w:style w:type="paragraph" w:customStyle="1" w:styleId="62">
    <w:name w:val="FR1"/>
    <w:qFormat/>
    <w:uiPriority w:val="0"/>
    <w:pPr>
      <w:widowControl w:val="0"/>
      <w:autoSpaceDE w:val="0"/>
      <w:autoSpaceDN w:val="0"/>
      <w:adjustRightInd w:val="0"/>
      <w:spacing w:before="240"/>
      <w:jc w:val="center"/>
    </w:pPr>
    <w:rPr>
      <w:rFonts w:ascii="Calibri" w:hAnsi="Calibri" w:eastAsia="Times New Roman" w:cs="Times New Roman"/>
      <w:sz w:val="36"/>
      <w:szCs w:val="36"/>
      <w:lang w:val="ru-RU" w:eastAsia="ru-RU" w:bidi="ar-SA"/>
    </w:rPr>
  </w:style>
  <w:style w:type="paragraph" w:customStyle="1" w:styleId="63">
    <w:name w:val="FR2"/>
    <w:qFormat/>
    <w:uiPriority w:val="0"/>
    <w:pPr>
      <w:widowControl w:val="0"/>
      <w:autoSpaceDE w:val="0"/>
      <w:autoSpaceDN w:val="0"/>
      <w:adjustRightInd w:val="0"/>
      <w:spacing w:line="300" w:lineRule="auto"/>
      <w:ind w:firstLine="120"/>
      <w:jc w:val="both"/>
    </w:pPr>
    <w:rPr>
      <w:rFonts w:ascii="Arial" w:hAnsi="Arial" w:eastAsia="Times New Roman" w:cs="Arial"/>
      <w:sz w:val="22"/>
      <w:szCs w:val="22"/>
      <w:lang w:val="ru-RU" w:eastAsia="ru-RU" w:bidi="ar-SA"/>
    </w:rPr>
  </w:style>
  <w:style w:type="character" w:customStyle="1" w:styleId="64">
    <w:name w:val="rvts7"/>
    <w:basedOn w:val="11"/>
    <w:qFormat/>
    <w:uiPriority w:val="0"/>
  </w:style>
  <w:style w:type="character" w:customStyle="1" w:styleId="65">
    <w:name w:val="RTF_Num 2 5"/>
    <w:qFormat/>
    <w:uiPriority w:val="0"/>
  </w:style>
  <w:style w:type="character" w:customStyle="1" w:styleId="66">
    <w:name w:val="Верхний колонтитул Знак"/>
    <w:basedOn w:val="11"/>
    <w:link w:val="18"/>
    <w:qFormat/>
    <w:uiPriority w:val="0"/>
    <w:rPr>
      <w:sz w:val="24"/>
      <w:szCs w:val="24"/>
    </w:rPr>
  </w:style>
  <w:style w:type="character" w:customStyle="1" w:styleId="67">
    <w:name w:val="Нижний колонтитул Знак"/>
    <w:basedOn w:val="11"/>
    <w:link w:val="22"/>
    <w:qFormat/>
    <w:uiPriority w:val="0"/>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9C816-36EE-448E-A754-8CABCD9DF40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1092</Words>
  <Characters>6231</Characters>
  <Lines>51</Lines>
  <Paragraphs>14</Paragraphs>
  <TotalTime>48</TotalTime>
  <ScaleCrop>false</ScaleCrop>
  <LinksUpToDate>false</LinksUpToDate>
  <CharactersWithSpaces>7309</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2018-08-29T01:22:00Z</dcterms:created>
  <dc:creator>†га ў«Ґў  ‚Ґа</dc:creator>
  <cp:lastModifiedBy>GorevayaTM</cp:lastModifiedBy>
  <cp:lastPrinted>2025-02-12T02:27:00Z</cp:lastPrinted>
  <dcterms:modified xsi:type="dcterms:W3CDTF">2025-02-13T05:27:20Z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BDE5E97C86254A7F84E1D4460ED80478_13</vt:lpwstr>
  </property>
</Properties>
</file>