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bookmarkStart w:id="0" w:name="_GoBack"/>
      <w:bookmarkEnd w:id="0"/>
      <w:r>
        <w:rPr>
          <w:rFonts w:ascii="Calibri" w:hAnsi="Calibri" w:eastAsia="Times New Roman" w:cs="Times New Roman"/>
          <w:color w:val="000000"/>
          <w:sz w:val="18"/>
          <w:szCs w:val="22"/>
          <w:lang w:val="ru-RU" w:eastAsia="ru-RU"/>
        </w:rPr>
        <w:drawing>
          <wp:inline distT="0" distB="0" distL="0" distR="0">
            <wp:extent cx="636270" cy="906145"/>
            <wp:effectExtent l="0" t="0" r="11430" b="8255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2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 xml:space="preserve">ДУМА                                        </w:t>
      </w: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br w:type="textWrapping"/>
      </w: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 xml:space="preserve"> АНУЧИНСКОГО МУНИЦИПАЛЬНОГО ОКРУГА</w:t>
      </w: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>ПРИМОРСКОГО КРАЯ</w:t>
      </w: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</w:p>
    <w:p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>РЕШЕНИЕ</w:t>
      </w: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</w:p>
    <w:p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22.02.2023                       с. Анучино                             № 402-НПА</w:t>
      </w:r>
    </w:p>
    <w:p>
      <w:pPr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34"/>
        <w:gridCol w:w="468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998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  <w:t>Об утверждении Порядка оценки результативности и эффективности муниципального земельного контроля на территории Анучинского муниципального округа</w:t>
            </w:r>
          </w:p>
        </w:tc>
        <w:tc>
          <w:tcPr>
            <w:tcW w:w="4999" w:type="dxa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</w:tr>
    </w:tbl>
    <w:p>
      <w:pPr>
        <w:shd w:val="clear" w:color="auto" w:fill="FFFFFF"/>
        <w:ind w:firstLine="567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</w:pPr>
    </w:p>
    <w:p>
      <w:pPr>
        <w:shd w:val="clear" w:color="auto" w:fill="FFFFFF"/>
        <w:spacing w:line="312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Уставом Анучинского муниципального округа Приморского края, Дума Анучинского муниципального округа</w:t>
      </w:r>
    </w:p>
    <w:p>
      <w:pPr>
        <w:shd w:val="clear" w:color="auto" w:fill="FFFFFF"/>
        <w:spacing w:line="312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line="312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РЕШИЛА</w:t>
      </w: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:</w:t>
      </w:r>
    </w:p>
    <w:p>
      <w:pPr>
        <w:shd w:val="clear" w:color="auto" w:fill="FFFFFF"/>
        <w:spacing w:line="312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numPr>
          <w:ilvl w:val="0"/>
          <w:numId w:val="1"/>
        </w:numPr>
        <w:shd w:val="clear" w:color="auto" w:fill="FFFFFF"/>
        <w:spacing w:line="312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Утвердить Порядок оценки результативности и эффективности муниципального земельного контроля на территории Анучинского муниципального округа, согласно приложению.</w:t>
      </w:r>
    </w:p>
    <w:p>
      <w:pPr>
        <w:numPr>
          <w:ilvl w:val="0"/>
          <w:numId w:val="1"/>
        </w:numPr>
        <w:shd w:val="clear" w:color="auto" w:fill="FFFFFF"/>
        <w:spacing w:line="312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Настоящее решение направить главе Анучинского муниципального округа для подписания и официального опубликования (обнародования).</w:t>
      </w:r>
    </w:p>
    <w:p>
      <w:pPr>
        <w:numPr>
          <w:ilvl w:val="0"/>
          <w:numId w:val="1"/>
        </w:numPr>
        <w:shd w:val="clear" w:color="auto" w:fill="FFFFFF"/>
        <w:spacing w:line="312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Настоящее решение вступает в силу со дня его официального опубликования (обнародования).</w:t>
      </w:r>
    </w:p>
    <w:p>
      <w:pPr>
        <w:shd w:val="clear" w:color="auto" w:fill="FFFFFF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 xml:space="preserve">Председатель </w:t>
      </w:r>
    </w:p>
    <w:p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 xml:space="preserve">Думы Анучинского </w:t>
      </w:r>
    </w:p>
    <w:p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муниципального округа                                                                    Тишина Г.П.</w:t>
      </w:r>
    </w:p>
    <w:p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Calibri" w:hAnsi="Calibri" w:eastAsia="Times New Roman" w:cs="Times New Roman"/>
          <w:color w:val="000000"/>
          <w:sz w:val="18"/>
          <w:szCs w:val="22"/>
          <w:lang w:val="ru-RU" w:eastAsia="ru-RU"/>
        </w:rPr>
        <w:drawing>
          <wp:inline distT="0" distB="0" distL="0" distR="0">
            <wp:extent cx="636270" cy="906145"/>
            <wp:effectExtent l="0" t="0" r="11430" b="825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2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>ДУМА</w:t>
      </w: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br w:type="textWrapping"/>
      </w: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 xml:space="preserve"> АНУЧИНСКОГО МУНИЦИПАЛЬНОГО ОКРУГА</w:t>
      </w: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>ПРИМОРСКОГО КРАЯ</w:t>
      </w: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 xml:space="preserve">РЕШЕНИЕ </w:t>
      </w:r>
    </w:p>
    <w:p>
      <w:pPr>
        <w:shd w:val="clear" w:color="auto" w:fill="FFFFFF"/>
        <w:ind w:firstLine="567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hd w:val="clear" w:color="auto" w:fill="FFFFFF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  <w:t>Об утверждении Порядка оценки результативности и эффективности муниципального земельного контроля на территории Анучинского муниципального округа</w:t>
      </w:r>
    </w:p>
    <w:p>
      <w:pPr>
        <w:shd w:val="clear" w:color="auto" w:fill="FFFFFF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ru-RU" w:eastAsia="ru-RU"/>
        </w:rPr>
      </w:pPr>
    </w:p>
    <w:p>
      <w:pPr>
        <w:shd w:val="clear" w:color="auto" w:fill="FFFFFF"/>
        <w:ind w:firstLine="567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Принято Думой Анучинского </w:t>
      </w:r>
    </w:p>
    <w:p>
      <w:pPr>
        <w:shd w:val="clear" w:color="auto" w:fill="FFFFFF"/>
        <w:ind w:firstLine="567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муниципального округа</w:t>
      </w:r>
    </w:p>
    <w:p>
      <w:pPr>
        <w:shd w:val="clear" w:color="auto" w:fill="FFFFFF"/>
        <w:ind w:firstLine="567"/>
        <w:jc w:val="right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22 февраля 2023 года</w:t>
      </w:r>
    </w:p>
    <w:p>
      <w:pPr>
        <w:shd w:val="clear" w:color="auto" w:fill="FFFFFF"/>
        <w:ind w:firstLine="567"/>
        <w:jc w:val="right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>
      <w:pPr>
        <w:shd w:val="clear" w:color="auto" w:fill="FFFFFF"/>
        <w:spacing w:line="336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Федерации»:</w:t>
      </w:r>
    </w:p>
    <w:p>
      <w:pPr>
        <w:shd w:val="clear" w:color="auto" w:fill="FFFFFF"/>
        <w:spacing w:line="336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ru-RU" w:eastAsia="ru-RU"/>
        </w:rPr>
      </w:pPr>
    </w:p>
    <w:p>
      <w:pPr>
        <w:numPr>
          <w:ilvl w:val="0"/>
          <w:numId w:val="2"/>
        </w:numPr>
        <w:shd w:val="clear" w:color="auto" w:fill="FFFFFF"/>
        <w:spacing w:line="336" w:lineRule="auto"/>
        <w:ind w:left="0" w:firstLine="798" w:firstLineChars="285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Утвердить Порядок оценки результативности и эффективности муниципального земельного контроля на территории Анучинского муниципального округа, согласно приложению.</w:t>
      </w:r>
    </w:p>
    <w:p>
      <w:pPr>
        <w:numPr>
          <w:ilvl w:val="0"/>
          <w:numId w:val="2"/>
        </w:numPr>
        <w:shd w:val="clear" w:color="auto" w:fill="FFFFFF"/>
        <w:spacing w:line="336" w:lineRule="auto"/>
        <w:ind w:left="0" w:firstLine="798" w:firstLineChars="285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Настоящее решение опубликовать (обнародовать) в средствах массовой информации и разместить на официальном сайте администрации Анучинского муниципального округа Приморского края.</w:t>
      </w:r>
    </w:p>
    <w:p>
      <w:pPr>
        <w:numPr>
          <w:ilvl w:val="0"/>
          <w:numId w:val="2"/>
        </w:numPr>
        <w:shd w:val="clear" w:color="auto" w:fill="FFFFFF"/>
        <w:spacing w:line="336" w:lineRule="auto"/>
        <w:ind w:left="0" w:firstLine="798" w:firstLineChars="285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Настоящее решение вступает в силу со дня его официального опубликования (обнародования).</w:t>
      </w:r>
    </w:p>
    <w:p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Глава Анучинского</w:t>
      </w:r>
    </w:p>
    <w:p>
      <w:pPr>
        <w:tabs>
          <w:tab w:val="left" w:pos="7513"/>
        </w:tabs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муниципального округа                                                         С.А. Понуровский</w:t>
      </w:r>
    </w:p>
    <w:p>
      <w:pPr>
        <w:tabs>
          <w:tab w:val="left" w:pos="7513"/>
        </w:tabs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>
      <w:pPr>
        <w:tabs>
          <w:tab w:val="left" w:pos="7513"/>
        </w:tabs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с. Анучино</w:t>
      </w:r>
    </w:p>
    <w:p>
      <w:pPr>
        <w:tabs>
          <w:tab w:val="left" w:pos="7513"/>
        </w:tabs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22 февраля 2023 года</w:t>
      </w:r>
    </w:p>
    <w:p>
      <w:pPr>
        <w:tabs>
          <w:tab w:val="left" w:pos="7513"/>
        </w:tabs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>
      <w:pPr>
        <w:tabs>
          <w:tab w:val="left" w:pos="7513"/>
        </w:tabs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№ 402-НПА</w:t>
      </w:r>
    </w:p>
    <w:p>
      <w:pPr>
        <w:tabs>
          <w:tab w:val="left" w:pos="7513"/>
        </w:tabs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>
      <w:pPr>
        <w:jc w:val="right"/>
        <w:rPr>
          <w:rFonts w:ascii="Times New Roman" w:hAnsi="Times New Roman" w:cs="Times New Roman"/>
          <w:sz w:val="22"/>
          <w:szCs w:val="22"/>
          <w:lang w:val="ru-RU"/>
        </w:rPr>
      </w:pPr>
    </w:p>
    <w:p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Приложение</w:t>
      </w:r>
    </w:p>
    <w:p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к решению Думы Анучинского </w:t>
      </w:r>
    </w:p>
    <w:p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муниципального округа</w:t>
      </w:r>
    </w:p>
    <w:p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от 22.02.2023.2023  № 402-НПА</w:t>
      </w:r>
    </w:p>
    <w:p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jc w:val="right"/>
        <w:rPr>
          <w:rFonts w:ascii="Times New Roman" w:hAnsi="Times New Roman" w:cs="Times New Roman"/>
          <w:sz w:val="22"/>
          <w:szCs w:val="22"/>
          <w:lang w:val="ru-RU"/>
        </w:rPr>
      </w:pPr>
    </w:p>
    <w:p>
      <w:pPr>
        <w:shd w:val="clear" w:color="auto" w:fill="FFFFFF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  <w:t>Порядок</w:t>
      </w:r>
    </w:p>
    <w:p>
      <w:pPr>
        <w:shd w:val="clear" w:color="auto" w:fill="FFFFFF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  <w:t>оценки результативности и эффективности муниципального земельного контроля на территории Анучинского муниципального округа</w:t>
      </w:r>
    </w:p>
    <w:p>
      <w:pPr>
        <w:pStyle w:val="5"/>
        <w:spacing w:beforeAutospacing="0" w:afterAutospacing="0"/>
        <w:jc w:val="center"/>
        <w:rPr>
          <w:rFonts w:eastAsia="sans-serif"/>
          <w:b/>
          <w:bCs/>
          <w:color w:val="000000"/>
          <w:sz w:val="28"/>
          <w:szCs w:val="28"/>
          <w:lang w:val="ru-RU"/>
        </w:rPr>
      </w:pPr>
    </w:p>
    <w:p>
      <w:pPr>
        <w:pStyle w:val="5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1. Ключевые показатели муниципального земельного контроля и их целевые значения на территории Анучинского муниципального округа:</w:t>
      </w:r>
    </w:p>
    <w:p>
      <w:pPr>
        <w:pStyle w:val="5"/>
        <w:spacing w:beforeAutospacing="0" w:afterAutospacing="0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ascii="sans-serif" w:hAnsi="sans-serif" w:eastAsia="sans-serif" w:cs="sans-serif"/>
          <w:color w:val="000000"/>
          <w:sz w:val="19"/>
          <w:szCs w:val="19"/>
        </w:rPr>
        <w:t> </w:t>
      </w:r>
    </w:p>
    <w:tbl>
      <w:tblPr>
        <w:tblStyle w:val="3"/>
        <w:tblW w:w="0" w:type="auto"/>
        <w:tblInd w:w="6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40"/>
        <w:gridCol w:w="148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5"/>
              <w:spacing w:beforeAutospacing="0" w:afterAutospacing="0"/>
              <w:jc w:val="center"/>
            </w:pPr>
            <w:r>
              <w:rPr>
                <w:rFonts w:eastAsia="sans-serif"/>
                <w:color w:val="000000"/>
                <w:sz w:val="28"/>
                <w:szCs w:val="28"/>
              </w:rPr>
              <w:t>Ключевые показатели</w:t>
            </w:r>
          </w:p>
        </w:tc>
        <w:tc>
          <w:tcPr>
            <w:tcW w:w="14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5"/>
              <w:spacing w:beforeAutospacing="0" w:afterAutospacing="0"/>
              <w:jc w:val="center"/>
            </w:pPr>
            <w:r>
              <w:rPr>
                <w:rFonts w:eastAsia="sans-serif"/>
                <w:color w:val="000000"/>
                <w:sz w:val="28"/>
                <w:szCs w:val="28"/>
              </w:rPr>
              <w:t>Целевые значения (%)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5"/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eastAsia="sans-serif"/>
                <w:color w:val="000000"/>
                <w:sz w:val="28"/>
                <w:szCs w:val="28"/>
                <w:lang w:val="ru-RU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5"/>
              <w:spacing w:beforeAutospacing="0" w:afterAutospacing="0"/>
              <w:jc w:val="center"/>
            </w:pPr>
            <w:r>
              <w:rPr>
                <w:rFonts w:eastAsia="sans-serif"/>
                <w:color w:val="000000"/>
                <w:sz w:val="28"/>
                <w:szCs w:val="28"/>
              </w:rPr>
              <w:t>Не менее 70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5"/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eastAsia="sans-serif"/>
                <w:color w:val="000000"/>
                <w:sz w:val="28"/>
                <w:szCs w:val="28"/>
                <w:lang w:val="ru-RU"/>
              </w:rPr>
              <w:t>Доля субъектов, допустивших нарушения, в результате которых причинен вред (ущерб) или была создана угроза его причинения, выявленные в результате проведения контрольных мероприятий, от общего числа проверенных субъектов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5"/>
              <w:spacing w:beforeAutospacing="0" w:afterAutospacing="0"/>
              <w:jc w:val="center"/>
            </w:pPr>
            <w:r>
              <w:rPr>
                <w:rFonts w:eastAsia="sans-serif"/>
                <w:color w:val="000000"/>
                <w:sz w:val="28"/>
                <w:szCs w:val="28"/>
              </w:rPr>
              <w:t>Не более 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5"/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eastAsia="sans-serif"/>
                <w:color w:val="000000"/>
                <w:sz w:val="28"/>
                <w:szCs w:val="28"/>
                <w:lang w:val="ru-RU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числа поступивших жалоб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5"/>
              <w:spacing w:beforeAutospacing="0" w:afterAutospacing="0"/>
              <w:jc w:val="center"/>
            </w:pPr>
            <w:r>
              <w:rPr>
                <w:rFonts w:eastAsia="sans-serif"/>
                <w:color w:val="000000"/>
                <w:sz w:val="28"/>
                <w:szCs w:val="28"/>
              </w:rPr>
              <w:t>Не более 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5"/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eastAsia="sans-serif"/>
                <w:color w:val="000000"/>
                <w:sz w:val="28"/>
                <w:szCs w:val="28"/>
                <w:lang w:val="ru-RU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5"/>
              <w:spacing w:beforeAutospacing="0" w:afterAutospacing="0"/>
              <w:jc w:val="center"/>
            </w:pPr>
            <w:r>
              <w:rPr>
                <w:rFonts w:eastAsia="sans-serif"/>
                <w:color w:val="000000"/>
                <w:sz w:val="28"/>
                <w:szCs w:val="28"/>
              </w:rPr>
              <w:t>Не более 0</w:t>
            </w:r>
          </w:p>
        </w:tc>
      </w:tr>
    </w:tbl>
    <w:p>
      <w:pPr>
        <w:pStyle w:val="5"/>
        <w:spacing w:beforeAutospacing="0" w:afterAutospacing="0"/>
        <w:rPr>
          <w:rFonts w:ascii="sans-serif" w:hAnsi="sans-serif" w:eastAsia="sans-serif" w:cs="sans-serif"/>
          <w:color w:val="000000"/>
          <w:sz w:val="19"/>
          <w:szCs w:val="19"/>
        </w:rPr>
      </w:pPr>
      <w:r>
        <w:rPr>
          <w:rFonts w:ascii="sans-serif" w:hAnsi="sans-serif" w:eastAsia="sans-serif" w:cs="sans-serif"/>
          <w:color w:val="000000"/>
          <w:sz w:val="19"/>
          <w:szCs w:val="19"/>
        </w:rPr>
        <w:t> </w:t>
      </w:r>
    </w:p>
    <w:p>
      <w:pPr>
        <w:pStyle w:val="5"/>
        <w:numPr>
          <w:ilvl w:val="0"/>
          <w:numId w:val="3"/>
        </w:numPr>
        <w:spacing w:beforeAutospacing="0" w:afterAutospacing="0"/>
        <w:jc w:val="both"/>
        <w:rPr>
          <w:rFonts w:eastAsia="sans-serif"/>
          <w:color w:val="000000"/>
          <w:sz w:val="28"/>
          <w:szCs w:val="28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Индикативные показатели муниципального земельного контроля на территории Анучинского муниципального округа:</w:t>
      </w:r>
    </w:p>
    <w:p>
      <w:pPr>
        <w:pStyle w:val="5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1) количество обращений граждан и организаций о нарушении обязательных требований, поступивших в администрацию Анучинского муниципального округа Приморского края (далее - Администрация);</w:t>
      </w:r>
    </w:p>
    <w:p>
      <w:pPr>
        <w:pStyle w:val="5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2) количество проведенных Администрацией внеплановых контрольных мероприятий;</w:t>
      </w:r>
    </w:p>
    <w:p>
      <w:pPr>
        <w:pStyle w:val="5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3) количество принятых прокуратурой решений о согласовании проведения Администрацией внепланового контрольного мероприятия;</w:t>
      </w:r>
    </w:p>
    <w:p>
      <w:pPr>
        <w:pStyle w:val="5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4) количество выявленных Администрацией нарушений обязательных требований;</w:t>
      </w:r>
    </w:p>
    <w:p>
      <w:pPr>
        <w:pStyle w:val="5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5) количество устраненных нарушений обязательных требований;</w:t>
      </w:r>
    </w:p>
    <w:p>
      <w:pPr>
        <w:pStyle w:val="5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6) количество поступивших возражений в отношении акта контрольного мероприятия;</w:t>
      </w:r>
    </w:p>
    <w:p>
      <w:pPr>
        <w:pStyle w:val="5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7) количество выданных Администрацией предписаний и (или) предостережений об устранении нарушений обязательных требований.</w:t>
      </w:r>
    </w:p>
    <w:p>
      <w:pPr>
        <w:pStyle w:val="5"/>
        <w:shd w:val="clear" w:color="auto" w:fill="FFFFFF"/>
        <w:spacing w:beforeAutospacing="0" w:after="150" w:afterAutospacing="0"/>
        <w:ind w:firstLine="708"/>
        <w:jc w:val="both"/>
        <w:rPr>
          <w:lang w:val="ru-RU"/>
        </w:rPr>
      </w:pPr>
      <w:r>
        <w:rPr>
          <w:rFonts w:eastAsia="sans-serif"/>
          <w:color w:val="333333"/>
          <w:sz w:val="28"/>
          <w:szCs w:val="28"/>
          <w:shd w:val="clear" w:color="auto" w:fill="FFFFFF"/>
          <w:lang w:val="ru-RU"/>
        </w:rPr>
        <w:t>Администрация ежегодно в соответствии с частью 8 статьи 30 Федерального закона № 248-ФЗ «О государственном контроле (надзоре) и муниципальном контроле в Российской Федерации»,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вида контроля, в том числе о влиянии профилактических мероприятий и контрольных (надзорных) мероприятий на достижение ключевых показателей.</w:t>
      </w:r>
    </w:p>
    <w:p>
      <w:pPr>
        <w:rPr>
          <w:lang w:val="ru-RU"/>
        </w:rPr>
      </w:pPr>
    </w:p>
    <w:sectPr>
      <w:pgSz w:w="11906" w:h="16838"/>
      <w:pgMar w:top="567" w:right="906" w:bottom="1135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E2FC30"/>
    <w:multiLevelType w:val="singleLevel"/>
    <w:tmpl w:val="F9E2FC3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05C0649"/>
    <w:multiLevelType w:val="singleLevel"/>
    <w:tmpl w:val="105C0649"/>
    <w:lvl w:ilvl="0" w:tentative="0">
      <w:start w:val="2"/>
      <w:numFmt w:val="decimal"/>
      <w:suff w:val="space"/>
      <w:lvlText w:val="%1."/>
      <w:lvlJc w:val="left"/>
    </w:lvl>
  </w:abstractNum>
  <w:abstractNum w:abstractNumId="2">
    <w:nsid w:val="16F3487D"/>
    <w:multiLevelType w:val="singleLevel"/>
    <w:tmpl w:val="16F3487D"/>
    <w:lvl w:ilvl="0" w:tentative="0">
      <w:start w:val="1"/>
      <w:numFmt w:val="decimal"/>
      <w:suff w:val="space"/>
      <w:lvlText w:val="%1."/>
      <w:lvlJc w:val="left"/>
      <w:pPr>
        <w:ind w:left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9F1597"/>
    <w:rsid w:val="00230D8E"/>
    <w:rsid w:val="0061647D"/>
    <w:rsid w:val="00F33E4D"/>
    <w:rsid w:val="00FE39F3"/>
    <w:rsid w:val="26CB316B"/>
    <w:rsid w:val="749F159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uiPriority w:val="0"/>
    <w:rPr>
      <w:rFonts w:ascii="Tahoma" w:hAnsi="Tahoma" w:cs="Tahoma"/>
      <w:sz w:val="16"/>
      <w:szCs w:val="16"/>
    </w:rPr>
  </w:style>
  <w:style w:type="paragraph" w:styleId="5">
    <w:name w:val="Normal (Web)"/>
    <w:qFormat/>
    <w:uiPriority w:val="0"/>
    <w:pPr>
      <w:spacing w:beforeAutospacing="1" w:afterAutospacing="1"/>
    </w:pPr>
    <w:rPr>
      <w:rFonts w:ascii="Times New Roman" w:hAnsi="Times New Roman" w:eastAsia="SimSun" w:cs="Times New Roman"/>
      <w:sz w:val="24"/>
      <w:szCs w:val="24"/>
      <w:lang w:val="en-US" w:eastAsia="zh-CN" w:bidi="ar-SA"/>
    </w:rPr>
  </w:style>
  <w:style w:type="table" w:styleId="6">
    <w:name w:val="Table Grid"/>
    <w:basedOn w:val="3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Текст выноски Знак"/>
    <w:basedOn w:val="2"/>
    <w:link w:val="4"/>
    <w:uiPriority w:val="0"/>
    <w:rPr>
      <w:rFonts w:ascii="Tahoma" w:hAnsi="Tahoma" w:cs="Tahoma"/>
      <w:sz w:val="16"/>
      <w:szCs w:val="16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E0A8B-F8F6-482E-AAE1-68605C65B3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528</Words>
  <Characters>3013</Characters>
  <Lines>25</Lines>
  <Paragraphs>7</Paragraphs>
  <TotalTime>1</TotalTime>
  <ScaleCrop>false</ScaleCrop>
  <LinksUpToDate>false</LinksUpToDate>
  <CharactersWithSpaces>3534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2023-01-18T00:51:00Z</dcterms:created>
  <dc:creator>MehovskiyVV</dc:creator>
  <cp:lastModifiedBy>MehovskiyVV</cp:lastModifiedBy>
  <cp:lastPrinted>2023-02-09T02:07:00Z</cp:lastPrinted>
  <dcterms:modified xsi:type="dcterms:W3CDTF">2023-02-27T02:45:55Z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513FF2D042FC477A97314C04014F0C8B</vt:lpwstr>
  </property>
</Properties>
</file>