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7A3A1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 w:firstLine="708" w:firstLineChars="0"/>
        <w:jc w:val="both"/>
        <w:rPr>
          <w:sz w:val="24"/>
          <w:szCs w:val="24"/>
        </w:rPr>
      </w:pP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 xml:space="preserve">Антитеррористическая комиссия 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  <w:lang w:val="ru-RU"/>
        </w:rPr>
        <w:t>Анучинского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 xml:space="preserve"> муниципального округа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  <w:lang w:val="ru-RU"/>
        </w:rPr>
        <w:t xml:space="preserve"> Приморского края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 xml:space="preserve"> сообщает, что на территории Приморского края в настоящее время действует Постановление администрации Приморского края от 29 мая 2013 года № 207-па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(ред. от 04.08.2026) </w:t>
      </w:r>
      <w:r>
        <w:rPr>
          <w:rFonts w:hint="default"/>
          <w:sz w:val="24"/>
          <w:szCs w:val="24"/>
          <w:lang w:val="ru-RU"/>
        </w:rPr>
        <w:t xml:space="preserve"> «</w:t>
      </w:r>
      <w:r>
        <w:rPr>
          <w:sz w:val="24"/>
          <w:szCs w:val="24"/>
        </w:rPr>
        <w:t>О выплате вознаграждения гражданам, добровольно сдавшим хранящиеся у них оружие, боеприпасы, взрывчатые вещества и взрывные устройства"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(вместе с "Порядком выплаты вознаграждения гражданам...") </w:t>
      </w:r>
    </w:p>
    <w:p w14:paraId="767D168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/>
        <w:jc w:val="left"/>
        <w:textAlignment w:val="auto"/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 xml:space="preserve"> Данным постановлением: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  <w:lang w:val="ru-RU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  <w:lang w:val="ru-RU"/>
        </w:rPr>
        <w:tab/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 xml:space="preserve">1. Установлено </w:t>
      </w:r>
      <w:r>
        <w:t>расходное обязательство Приморского края по выплате вознаграждения гражданам, добровольно сдавшим хранящиеся у них оружие, боеприпасы, взрывчатые вещества и взрывные устройства.</w:t>
      </w:r>
      <w:r>
        <w:rPr>
          <w:rFonts w:hint="default"/>
          <w:lang w:val="ru-RU"/>
        </w:rPr>
        <w:t xml:space="preserve">                                                                                                                                                 </w:t>
      </w:r>
      <w:r>
        <w:rPr>
          <w:rFonts w:hint="default"/>
          <w:lang w:val="ru-RU"/>
        </w:rPr>
        <w:tab/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2. Утверждён 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fldChar w:fldCharType="begin"/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instrText xml:space="preserve"> HYPERLINK "https://chernigovka.gosuslugi.ru/deyatelnost/napravleniya-deyatelnosti/antiterroristicheskaya-komissiya/" \l "P40" </w:instrTex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fldChar w:fldCharType="separate"/>
      </w:r>
      <w:r>
        <w:rPr>
          <w:rStyle w:val="4"/>
          <w:rFonts w:hint="default" w:ascii="Times New Roman" w:hAnsi="Times New Roman" w:eastAsia="Montserrat" w:cs="Times New Roman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t>Порядок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fldChar w:fldCharType="end"/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 выплаты вознаграждения гражданам, добровольно сдавшим хранящиеся у них оружие, боеприпасы, взрывчатые вещества и взрывные устройства.</w:t>
      </w:r>
    </w:p>
    <w:p w14:paraId="3613C34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/>
        <w:jc w:val="center"/>
        <w:textAlignment w:val="auto"/>
        <w:rPr>
          <w:rFonts w:hint="default" w:ascii="Times New Roman" w:hAnsi="Times New Roman" w:eastAsia="Montserrat" w:cs="Times New Roman"/>
          <w:b/>
          <w:bCs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Montserrat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fldChar w:fldCharType="begin"/>
      </w:r>
      <w:r>
        <w:rPr>
          <w:rFonts w:hint="default" w:ascii="Times New Roman" w:hAnsi="Times New Roman" w:eastAsia="Montserrat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instrText xml:space="preserve"> HYPERLINK "https://chernigovka.gosuslugi.ru/deyatelnost/napravleniya-deyatelnosti/antiterroristicheskaya-komissiya/" \l "P40" </w:instrText>
      </w:r>
      <w:r>
        <w:rPr>
          <w:rFonts w:hint="default" w:ascii="Times New Roman" w:hAnsi="Times New Roman" w:eastAsia="Montserrat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fldChar w:fldCharType="separate"/>
      </w:r>
      <w:r>
        <w:rPr>
          <w:rStyle w:val="4"/>
          <w:rFonts w:hint="default" w:ascii="Times New Roman" w:hAnsi="Times New Roman" w:eastAsia="Montserrat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t>Порядок</w:t>
      </w:r>
      <w:r>
        <w:rPr>
          <w:rFonts w:hint="default" w:ascii="Times New Roman" w:hAnsi="Times New Roman" w:eastAsia="Montserrat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u w:val="none"/>
          <w:shd w:val="clear" w:color="auto" w:fill="FFFFFF"/>
        </w:rPr>
        <w:fldChar w:fldCharType="end"/>
      </w:r>
      <w:r>
        <w:rPr>
          <w:rFonts w:hint="default" w:ascii="Times New Roman" w:hAnsi="Times New Roman" w:eastAsia="Montserrat" w:cs="Times New Roman"/>
          <w:b/>
          <w:bCs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 xml:space="preserve"> выплаты вознаграждения гражданам, добровольно сдавшим </w:t>
      </w:r>
      <w:r>
        <w:rPr>
          <w:rFonts w:hint="default" w:ascii="Times New Roman" w:hAnsi="Times New Roman" w:eastAsia="Montserrat" w:cs="Times New Roman"/>
          <w:b/>
          <w:bCs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  <w:lang w:val="ru-RU"/>
        </w:rPr>
        <w:t xml:space="preserve">                                                </w:t>
      </w:r>
      <w:r>
        <w:rPr>
          <w:rFonts w:hint="default" w:ascii="Times New Roman" w:hAnsi="Times New Roman" w:eastAsia="Montserrat" w:cs="Times New Roman"/>
          <w:b/>
          <w:bCs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хранящиеся у них оружие, боеприпасы, взрывчатые вещества и взрывные устройства</w:t>
      </w:r>
    </w:p>
    <w:p w14:paraId="4EFBBC95">
      <w:pPr>
        <w:pStyle w:val="5"/>
        <w:keepNext w:val="0"/>
        <w:keepLines w:val="0"/>
        <w:widowControl/>
        <w:suppressLineNumbers w:val="0"/>
        <w:spacing w:before="90" w:beforeAutospacing="0"/>
        <w:jc w:val="both"/>
        <w:rPr>
          <w:rFonts w:hint="default" w:ascii="Times New Roman" w:hAnsi="Times New Roman" w:cs="Times New Roman"/>
          <w:spacing w:val="0"/>
          <w:sz w:val="24"/>
          <w:szCs w:val="24"/>
        </w:rPr>
      </w:pP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 xml:space="preserve">1. Настоящий Порядок устанавливает правила выплаты вознаграждения гражданам, в том числе иностранным гражданам и лицам без гражданства, (далее - граждане) за добровольную сдачу оружия, боеприпасов, взрывчатых веществ и взрывных устройств, незаконно хранящиеся у граждан, в том числе найденных гражданами, а также гражданского оружия, срок действия разрешения на хранение или хранение и ношение которого, выданного федеральным органом исполнительной власти, уполномоченным в сфере оборота оружия, не 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  <w:lang w:val="ru-RU"/>
        </w:rPr>
        <w:t>истёк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, а также размеры указанного вознаграждения (далее соответственно - вознаграждение, добровольно сданные предметы вооружения).</w:t>
      </w:r>
    </w:p>
    <w:p w14:paraId="5FA9829B">
      <w:pPr>
        <w:pStyle w:val="5"/>
        <w:keepNext w:val="0"/>
        <w:keepLines w:val="0"/>
        <w:widowControl/>
        <w:suppressLineNumbers w:val="0"/>
        <w:spacing w:before="90" w:beforeAutospacing="0"/>
        <w:jc w:val="both"/>
        <w:rPr>
          <w:rFonts w:hint="default" w:ascii="Times New Roman" w:hAnsi="Times New Roman" w:cs="Times New Roman"/>
          <w:spacing w:val="0"/>
          <w:sz w:val="24"/>
          <w:szCs w:val="24"/>
        </w:rPr>
      </w:pP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2. Для получения вознаграждения гражданин, добровольно сдавший предметы вооружения (далее - заявитель), представляет в 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(далее - департамент) лично либо посредством почтового отправления следующие документы:</w:t>
      </w:r>
    </w:p>
    <w:p w14:paraId="2FBD4EC4">
      <w:pPr>
        <w:pStyle w:val="5"/>
        <w:keepNext w:val="0"/>
        <w:keepLines w:val="0"/>
        <w:widowControl/>
        <w:suppressLineNumbers w:val="0"/>
        <w:spacing w:before="90" w:beforeAutospacing="0"/>
        <w:jc w:val="both"/>
        <w:rPr>
          <w:rFonts w:hint="default" w:ascii="Times New Roman" w:hAnsi="Times New Roman" w:cs="Times New Roman"/>
          <w:spacing w:val="0"/>
          <w:sz w:val="24"/>
          <w:szCs w:val="24"/>
        </w:rPr>
      </w:pP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заявление в письменной форме на имя директора департамента на выплату вознаграждения, в котором указываются наименования и количество сданных предметов вооружения, паспортные данные заявителя, номер лицевого счета, открытого в кредитной организации, банковские реквизиты кредитной организации;</w:t>
      </w:r>
    </w:p>
    <w:p w14:paraId="0E4BD016">
      <w:pPr>
        <w:pStyle w:val="5"/>
        <w:keepNext w:val="0"/>
        <w:keepLines w:val="0"/>
        <w:widowControl/>
        <w:suppressLineNumbers w:val="0"/>
        <w:spacing w:before="90" w:beforeAutospacing="0"/>
        <w:jc w:val="both"/>
        <w:rPr>
          <w:rFonts w:hint="default" w:ascii="Times New Roman" w:hAnsi="Times New Roman" w:cs="Times New Roman"/>
          <w:spacing w:val="0"/>
          <w:sz w:val="24"/>
          <w:szCs w:val="24"/>
        </w:rPr>
      </w:pP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копию документа, удостоверяющего личность заявителя;</w:t>
      </w:r>
    </w:p>
    <w:p w14:paraId="2ABACFB7">
      <w:pPr>
        <w:pStyle w:val="5"/>
        <w:keepNext w:val="0"/>
        <w:keepLines w:val="0"/>
        <w:widowControl/>
        <w:suppressLineNumbers w:val="0"/>
        <w:spacing w:before="90" w:beforeAutospacing="0"/>
        <w:jc w:val="both"/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справку о перечне и количестве добровольно сданных предметов вооружения, выданную территориальным органом внутренних дел по Приморскому краю или Управлением Федеральной службы войск национальной гвардии Российской Федерации по Приморскому краю (далее - Управление Росгвардии по Приморскому краю).</w:t>
      </w:r>
    </w:p>
    <w:p w14:paraId="23936F39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 w:firstLine="540"/>
        <w:jc w:val="both"/>
      </w:pPr>
      <w:r>
        <w:t>Форма справки о перечне и количестве добровольно сданных предметов вооружения устанавливается соглашением о взаимодействии в сфере осуществления выплаты вознаграждения гражданам, добровольно сдавшим хранящиеся у них оружие, боеприпасы, взрывчатые вещества и взрывные устройства, заключенным между департаментом и Управлением Министерства внутренних дел Российской Федерации по Приморскому краю, Управлением Росгвардии по Приморскому краю (далее соответственно - УМВД России по Приморскому краю, соглашение о взаимодействии).</w:t>
      </w:r>
    </w:p>
    <w:p w14:paraId="58261C33">
      <w:pPr>
        <w:pStyle w:val="5"/>
        <w:keepNext w:val="0"/>
        <w:keepLines w:val="0"/>
        <w:widowControl/>
        <w:suppressLineNumbers w:val="0"/>
        <w:spacing w:before="90" w:beforeAutospacing="0"/>
        <w:jc w:val="both"/>
        <w:rPr>
          <w:rFonts w:hint="default" w:ascii="Times New Roman" w:hAnsi="Times New Roman" w:cs="Times New Roman"/>
          <w:spacing w:val="0"/>
          <w:sz w:val="24"/>
          <w:szCs w:val="24"/>
        </w:rPr>
      </w:pP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3. Департамент в течение пятнадцати рабочих дней со дня поступления документов, указанных в 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</w:rPr>
        <w:fldChar w:fldCharType="begin"/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</w:rPr>
        <w:instrText xml:space="preserve"> HYPERLINK "https://chernigovka.gosuslugi.ru/deyatelnost/napravleniya-deyatelnosti/antiterroristicheskaya-komissiya/" \l "P49" </w:instrTex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</w:rPr>
        <w:fldChar w:fldCharType="separate"/>
      </w:r>
      <w:r>
        <w:rPr>
          <w:rStyle w:val="4"/>
          <w:rFonts w:hint="default" w:ascii="Times New Roman" w:hAnsi="Times New Roman" w:eastAsia="Montserrat" w:cs="Times New Roman"/>
          <w:i w:val="0"/>
          <w:iCs w:val="0"/>
          <w:caps w:val="0"/>
          <w:color w:val="0000FF"/>
          <w:spacing w:val="0"/>
          <w:sz w:val="24"/>
          <w:szCs w:val="24"/>
          <w:u w:val="none"/>
          <w:shd w:val="clear" w:color="auto" w:fill="FFFFFF"/>
        </w:rPr>
        <w:t>пункте 2</w:t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</w:rPr>
        <w:fldChar w:fldCharType="end"/>
      </w: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 настоящего Порядка, рассматривает указанные документы и принимает решение об осуществлении (отказе в осуществлении) выплаты вознаграждения.</w:t>
      </w:r>
    </w:p>
    <w:p w14:paraId="5A999D47">
      <w:pPr>
        <w:pStyle w:val="5"/>
        <w:keepNext w:val="0"/>
        <w:keepLines w:val="0"/>
        <w:widowControl/>
        <w:suppressLineNumbers w:val="0"/>
        <w:spacing w:before="90" w:beforeAutospacing="0"/>
        <w:jc w:val="both"/>
        <w:rPr>
          <w:rFonts w:hint="default" w:ascii="Times New Roman" w:hAnsi="Times New Roman" w:cs="Times New Roman"/>
          <w:spacing w:val="0"/>
          <w:sz w:val="24"/>
          <w:szCs w:val="24"/>
        </w:rPr>
      </w:pPr>
      <w:r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  <w:t>7. Департамент в течение семи рабочих дней со дня принятия решения об осуществлении выплаты вознаграждения готовит и направляет реестр на перечисление вознаграждения в краевое государственное казенное учреждение "Центр бухгалтерского обслуживания" (далее - КГКУ "Центр бухгалтерского обслуживания") на основании договора о передаче отдельных функций главного распорядителя средств краевого бюджета КГКУ "Центр бухгалтерского обслуживания", заключенного с департаментом.</w:t>
      </w:r>
    </w:p>
    <w:p w14:paraId="634902F9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РАЗМЕРЫ ВОЗНАГРАЖДЕНИЯ ГРАЖДАНАМ</w:t>
      </w:r>
    </w:p>
    <w:p w14:paraId="40ADBF1A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ЗА ДОБРОВОЛЬНУЮ СДАЧУ ПРЕДМЕТОВ ВООРУЖЕНИЯ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</w:t>
      </w:r>
    </w:p>
    <w:p w14:paraId="7E91CEA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auto"/>
        <w:ind w:leftChars="171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</w:pPr>
    </w:p>
    <w:tbl>
      <w:tblPr>
        <w:tblStyle w:val="3"/>
        <w:tblW w:w="10475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12"/>
        <w:gridCol w:w="4063"/>
      </w:tblGrid>
      <w:tr w14:paraId="665B7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583CC2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сдаваемых предметов вооружения</w:t>
            </w:r>
          </w:p>
        </w:tc>
        <w:tc>
          <w:tcPr>
            <w:tcW w:w="4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FC1660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вознаграждения </w:t>
            </w:r>
          </w:p>
        </w:tc>
      </w:tr>
      <w:tr w14:paraId="1E2EF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B3E349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Боевое ручное стрелковое оружие, за исключением боевого короткоствольного ручного стрелкового оружия</w:t>
            </w:r>
          </w:p>
        </w:tc>
        <w:tc>
          <w:tcPr>
            <w:tcW w:w="4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533B70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двадцать пять тысяч рублей</w:t>
            </w:r>
          </w:p>
          <w:p w14:paraId="3DDCE54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каждую единицу</w:t>
            </w:r>
          </w:p>
        </w:tc>
      </w:tr>
      <w:tr w14:paraId="78496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CDE1A8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Боевое короткоствольное ручное стрелковое оружие, служебное нарезное короткоствольное оружие</w:t>
            </w:r>
          </w:p>
        </w:tc>
        <w:tc>
          <w:tcPr>
            <w:tcW w:w="4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F74A9A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двадцать две тысячи рублей</w:t>
            </w:r>
          </w:p>
          <w:p w14:paraId="6F57920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каждую единицу</w:t>
            </w:r>
          </w:p>
        </w:tc>
      </w:tr>
      <w:tr w14:paraId="55772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74F05D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Гражданское огнестрельное оружие с нарезным стволом</w:t>
            </w:r>
          </w:p>
        </w:tc>
        <w:tc>
          <w:tcPr>
            <w:tcW w:w="4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44731F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шестнадцать тысяч рублей</w:t>
            </w:r>
          </w:p>
          <w:p w14:paraId="21AFF80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каждую единицу</w:t>
            </w:r>
          </w:p>
        </w:tc>
      </w:tr>
      <w:tr w14:paraId="7E2F0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56B12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Гражданское огнестрельное гладкоствольное оружие, служебное огнестрельное гладкоствольное оружие, самодельное огнестрельное оружие</w:t>
            </w:r>
          </w:p>
        </w:tc>
        <w:tc>
          <w:tcPr>
            <w:tcW w:w="4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9524D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девять тысяч рублей</w:t>
            </w:r>
          </w:p>
          <w:p w14:paraId="030A944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каждую единицу</w:t>
            </w:r>
          </w:p>
        </w:tc>
      </w:tr>
      <w:tr w14:paraId="08A45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80E818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Газовое, огнестрельное бесствольное оружие самообороны, холодное оружие</w:t>
            </w:r>
          </w:p>
        </w:tc>
        <w:tc>
          <w:tcPr>
            <w:tcW w:w="4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CE7A54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 тысячи рублей</w:t>
            </w:r>
          </w:p>
          <w:p w14:paraId="1D85C09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каждую единицу</w:t>
            </w:r>
          </w:p>
        </w:tc>
      </w:tr>
      <w:tr w14:paraId="1550A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E9368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Гранаты, мины, снаряды</w:t>
            </w:r>
          </w:p>
        </w:tc>
        <w:tc>
          <w:tcPr>
            <w:tcW w:w="4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33353F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пять тысяч рублей</w:t>
            </w:r>
          </w:p>
          <w:p w14:paraId="7B3CEC0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каждую единицу</w:t>
            </w:r>
          </w:p>
        </w:tc>
      </w:tr>
      <w:tr w14:paraId="3A74F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92F4FB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Взрывчатые вещества</w:t>
            </w:r>
          </w:p>
        </w:tc>
        <w:tc>
          <w:tcPr>
            <w:tcW w:w="4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1767B4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пять тысяч рублей</w:t>
            </w:r>
          </w:p>
          <w:p w14:paraId="111F99A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каждые 1000 граммов</w:t>
            </w:r>
          </w:p>
        </w:tc>
      </w:tr>
      <w:tr w14:paraId="2360F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282ED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Боеприпасы</w:t>
            </w:r>
          </w:p>
        </w:tc>
        <w:tc>
          <w:tcPr>
            <w:tcW w:w="4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F31248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285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пятьдесят рублей за каждую единицу</w:t>
            </w:r>
          </w:p>
        </w:tc>
      </w:tr>
    </w:tbl>
    <w:p w14:paraId="6D5C37A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/>
        <w:jc w:val="center"/>
        <w:textAlignment w:val="auto"/>
        <w:rPr>
          <w:rFonts w:hint="default" w:ascii="Times New Roman" w:hAnsi="Times New Roman" w:eastAsia="Montserrat" w:cs="Times New Roman"/>
          <w:i w:val="0"/>
          <w:iCs w:val="0"/>
          <w:caps w:val="0"/>
          <w:color w:val="273350"/>
          <w:spacing w:val="0"/>
          <w:sz w:val="24"/>
          <w:szCs w:val="24"/>
          <w:shd w:val="clear" w:color="auto" w:fill="FFFFFF"/>
        </w:rPr>
      </w:pPr>
    </w:p>
    <w:p w14:paraId="52F620F3">
      <w:bookmarkStart w:id="0" w:name="_GoBack"/>
      <w:bookmarkEnd w:id="0"/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30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paragraph" w:customStyle="1" w:styleId="6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2026-09-10T23:49:14Z</dcterms:created>
  <dc:creator>ObukhovaVP.AAMR</dc:creator>
  <cp:lastModifiedBy>WPS_1777853339</cp:lastModifiedBy>
  <dcterms:modified xsi:type="dcterms:W3CDTF">2026-09-10T23:49:57Z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eyJoZGlkIjoiNmUxYTAxY2NmYzRhYTg2ZmYxZTRiNTNjMmEyYjY3NTEiLCJ1c2VySWQiOiI4MjQ2MzQ5ODYxODgifQ==</vt:lpwstr>
  </property>
  <property fmtid="{D5CDD505-2E9C-101B-9397-08002B2CF9AE}" pid="4" name="ICV">
    <vt:lpwstr>D54BD7D0CDF1465DBC9E0C627F5D15CE_12</vt:lpwstr>
  </property>
</Properties>
</file>