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27A565">
      <w:pPr>
        <w:shd w:val="clear" w:color="auto" w:fill="FFFFFF"/>
        <w:spacing w:line="302" w:lineRule="atLeast"/>
        <w:ind w:firstLine="709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</w:pPr>
      <w:bookmarkStart w:id="0" w:name="_GoBack"/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  <w:t>Перечень индикаторов риска нарушения обязательных требований, используемых для осуществления муниципального контроля на автомобильном транспорте,</w:t>
      </w:r>
      <w:r>
        <w:rPr>
          <w:rFonts w:hint="default" w:ascii="Times New Roman" w:hAnsi="Times New Roman" w:eastAsia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  <w:t>городском наземном электрическом транспорте</w:t>
      </w:r>
    </w:p>
    <w:p w14:paraId="54BB005B">
      <w:pPr>
        <w:shd w:val="clear" w:color="auto" w:fill="FFFFFF"/>
        <w:spacing w:line="302" w:lineRule="atLeast"/>
        <w:ind w:firstLine="709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ar-SA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  <w:t>и в дорожном хозяйстве, и порядок их выявления</w:t>
      </w:r>
    </w:p>
    <w:bookmarkEnd w:id="0"/>
    <w:p w14:paraId="7E38FB9F">
      <w:pPr>
        <w:shd w:val="clear" w:color="auto" w:fill="FFFFFF"/>
        <w:spacing w:line="322" w:lineRule="atLeast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 </w:t>
      </w:r>
    </w:p>
    <w:p w14:paraId="7463D669">
      <w:pPr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1. Перечень индикаторов риска нарушения обязательных требований, используемых для осуществления муниципального контроля на автомобильном транспорте, городском наземном электрическом транспорте в дорожном хозяйстве:</w:t>
      </w:r>
    </w:p>
    <w:p w14:paraId="01378802">
      <w:pPr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lang w:val="ru-RU" w:eastAsia="ar-SA"/>
        </w:rPr>
      </w:pPr>
      <w:r>
        <w:rPr>
          <w:rFonts w:ascii="Times New Roman" w:hAnsi="Times New Roman" w:eastAsia="Times New Roman" w:cs="Times New Roman"/>
          <w:color w:val="000000"/>
          <w:sz w:val="28"/>
          <w:lang w:val="ru-RU" w:eastAsia="ar-SA"/>
        </w:rPr>
        <w:t xml:space="preserve">1)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  <w:t>привлечение водителей контролируемого лица 3 раза и более к административной ответственности за нарушение обязательных требований в сфере автомобильного транспорта и городского наземного электрического транспорта, международных автомобильных перевозок в течение 90 календарных дней при условии наличия информации, что у данного контролируемого лица работник, ответственный за обеспечение безопасности дорожного движения, и (или) консультант по вопросам безопасности перевозок опасных грузов автомобильным транспортом, и (или) должностное лицо, ответственное за организацию международных автомобильных перевозок, осуществляют деятельность у 3 и более контролируемых лиц</w:t>
      </w:r>
      <w:r>
        <w:rPr>
          <w:rFonts w:ascii="Times New Roman" w:hAnsi="Times New Roman" w:eastAsia="Times New Roman" w:cs="Times New Roman"/>
          <w:color w:val="000000"/>
          <w:sz w:val="28"/>
          <w:lang w:val="ru-RU" w:eastAsia="ar-SA"/>
        </w:rPr>
        <w:t>;</w:t>
      </w:r>
    </w:p>
    <w:p w14:paraId="561A8D59">
      <w:pPr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lang w:val="ru-RU" w:eastAsia="ar-SA"/>
        </w:rPr>
      </w:pPr>
      <w:r>
        <w:rPr>
          <w:rFonts w:ascii="Times New Roman" w:hAnsi="Times New Roman" w:eastAsia="Times New Roman" w:cs="Times New Roman"/>
          <w:color w:val="000000"/>
          <w:sz w:val="28"/>
          <w:lang w:val="ru-RU" w:eastAsia="ar-SA"/>
        </w:rPr>
        <w:t xml:space="preserve">2)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  <w:t>поступление в уполномоченный орган от регионального сетевого оператора в сфере навигационной деятельности Приморского края информации о невозможности осуществления отслеживания местоположения транспортных средств на маршруте регулярных перевозок пассажиров в режиме реального времени на основе мониторинговой информации от каждого транспортного средства, используемого для осуществления перевозок по маршруту, посредством аппаратуры спутниковой навигации ГЛОНАСС или ГЛОНАСС/GPS, в объеме более 10% от времени, затрачиваемого на движение транспортных средств по маршруту, в течение месяца</w:t>
      </w:r>
      <w:r>
        <w:rPr>
          <w:rFonts w:ascii="Times New Roman" w:hAnsi="Times New Roman" w:eastAsia="Times New Roman" w:cs="Times New Roman"/>
          <w:color w:val="000000"/>
          <w:sz w:val="28"/>
          <w:lang w:val="ru-RU" w:eastAsia="ar-SA"/>
        </w:rPr>
        <w:t>;</w:t>
      </w:r>
    </w:p>
    <w:p w14:paraId="60D567A8">
      <w:pPr>
        <w:ind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</w:pPr>
      <w:r>
        <w:rPr>
          <w:rFonts w:ascii="Times New Roman" w:hAnsi="Times New Roman" w:eastAsia="Times New Roman" w:cs="Times New Roman"/>
          <w:color w:val="000000"/>
          <w:sz w:val="28"/>
          <w:lang w:val="ru-RU" w:eastAsia="ar-SA"/>
        </w:rPr>
        <w:t>3)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  <w:t xml:space="preserve"> двукратный и более рост дорожно-транспортных происшествий, произошедших за календарный год, по сравнению со среднегодовой величиной за предшествующий трехлетний период на автомобильной дороге (участке автомобильной дороги) общего пользования местного значения;</w:t>
      </w:r>
    </w:p>
    <w:p w14:paraId="6763B667">
      <w:pPr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lang w:val="ru-RU" w:eastAsia="ar-SA"/>
        </w:rPr>
      </w:pPr>
      <w:r>
        <w:rPr>
          <w:rFonts w:ascii="Times New Roman" w:hAnsi="Times New Roman" w:eastAsia="Times New Roman" w:cs="Times New Roman"/>
          <w:color w:val="000000"/>
          <w:sz w:val="28"/>
          <w:lang w:val="ru-RU" w:eastAsia="ar-SA"/>
        </w:rPr>
        <w:t>4)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  <w:t xml:space="preserve"> выявление на основании открытых данных (запрашиваемой информации) управлением Госавтоинспекции УМВД России по Приморскому края (территориальных подразделений), в течение 3 месяцев 2 и более фактов совершения дорожно-транспортных происшествий со смертельным исходов и (или) причинением тяжкого вреда здоровью граждан, на участках дорог, являющихся объектами контроля, на которых контролируемыми лицами осуществляется деятельность по содержанию и (или) ремонту автомобильной дороги общего пользования местного значения</w:t>
      </w:r>
      <w:r>
        <w:rPr>
          <w:rFonts w:ascii="Times New Roman" w:hAnsi="Times New Roman" w:eastAsia="Times New Roman" w:cs="Times New Roman"/>
          <w:color w:val="000000"/>
          <w:sz w:val="28"/>
          <w:lang w:val="ru-RU" w:eastAsia="ar-SA"/>
        </w:rPr>
        <w:t>;</w:t>
      </w:r>
    </w:p>
    <w:p w14:paraId="24451642">
      <w:pPr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lang w:val="ru-RU" w:eastAsia="ar-SA"/>
        </w:rPr>
      </w:pPr>
      <w:r>
        <w:rPr>
          <w:rFonts w:ascii="Times New Roman" w:hAnsi="Times New Roman" w:eastAsia="Times New Roman" w:cs="Times New Roman"/>
          <w:color w:val="000000"/>
          <w:sz w:val="28"/>
          <w:lang w:val="ru-RU" w:eastAsia="ar-SA"/>
        </w:rPr>
        <w:t>5)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  <w:t xml:space="preserve"> наличие информации о росте количества дорожно-транспортных происшествий на величину от 3 и более ДТП, произошедших на участке протяженностью 100 м автомобильной дороги общего пользования местного значения, произошедших за единицу времени (месяц, квартал) в сравнении с предшествующим аналогичным периодом и (или) с аналогичным периодом предшествующего календарного года, поступившей в адрес уполномоченного органа либо полученной на основании анализа сведений, предоставленных из Государственной инспекции безопасности дорожного движения Министерства внутренних дел Российской Федерации</w:t>
      </w:r>
      <w:r>
        <w:rPr>
          <w:rFonts w:ascii="Times New Roman" w:hAnsi="Times New Roman" w:eastAsia="Times New Roman" w:cs="Times New Roman"/>
          <w:color w:val="000000"/>
          <w:sz w:val="28"/>
          <w:lang w:val="ru-RU" w:eastAsia="ar-SA"/>
        </w:rPr>
        <w:t>.</w:t>
      </w:r>
    </w:p>
    <w:p w14:paraId="54F0EBBE">
      <w:pPr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2. Порядок выявления индикаторов риска нарушения обязательных требований включает в себя сбор, обработку, анализ, учет и систематизацию сведений об объектах муниципального контроля, имеющихся у уполномоченного органа и полученных без взаимодействия с этими лицами.</w:t>
      </w:r>
    </w:p>
    <w:p w14:paraId="6E0CA76D">
      <w:pPr>
        <w:shd w:val="clear" w:color="auto" w:fill="FFFFFF"/>
        <w:spacing w:line="302" w:lineRule="atLeast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lang w:val="ru-RU" w:eastAsia="ar-SA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Уполномоченный орган в целях выявления индикаторов риска нарушения обязательных требований использует сведения об объектах муниципального контроля, полученные из любых источников, обеспечивающих их достоверность, в том числе в ходе проведения профилактических мероприятий, из обращений юридических и физических лиц, систем межведомственного информационного взаимодействия, иных информационных систем.</w:t>
      </w:r>
    </w:p>
    <w:p w14:paraId="0F2C4746"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26008C"/>
    <w:rsid w:val="4D26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2025-07-04T02:25:00Z</dcterms:created>
  <dc:creator>MehovskiyVV</dc:creator>
  <cp:lastModifiedBy>MehovskiyVV</cp:lastModifiedBy>
  <dcterms:modified xsi:type="dcterms:W3CDTF">2025-07-04T02:26:50Z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C2253A75F3B1437F9D305D14241D5AA3_11</vt:lpwstr>
  </property>
</Properties>
</file>