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134C6B">
      <w:pPr>
        <w:pStyle w:val="5"/>
        <w:keepNext w:val="0"/>
        <w:keepLines w:val="0"/>
        <w:widowControl/>
        <w:suppressLineNumbers w:val="0"/>
        <w:ind w:left="0" w:firstLine="0"/>
        <w:jc w:val="center"/>
        <w:rPr>
          <w:rFonts w:hint="default" w:ascii="Times New Roman" w:hAnsi="Times New Roman" w:eastAsia="Arial" w:cs="Times New Roman"/>
          <w:i w:val="0"/>
          <w:iCs w:val="0"/>
          <w:caps w:val="0"/>
          <w:color w:val="auto"/>
          <w:spacing w:val="0"/>
          <w:sz w:val="24"/>
          <w:szCs w:val="24"/>
        </w:rPr>
      </w:pPr>
      <w:r>
        <w:rPr>
          <w:rFonts w:hint="default" w:ascii="Times New Roman" w:hAnsi="Times New Roman" w:eastAsia="Arial" w:cs="Times New Roman"/>
          <w:b/>
          <w:bCs/>
          <w:i w:val="0"/>
          <w:iCs w:val="0"/>
          <w:caps w:val="0"/>
          <w:color w:val="auto"/>
          <w:spacing w:val="0"/>
          <w:sz w:val="24"/>
          <w:szCs w:val="24"/>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на территории А</w:t>
      </w:r>
      <w:r>
        <w:rPr>
          <w:rFonts w:hint="default" w:ascii="Times New Roman" w:hAnsi="Times New Roman" w:eastAsia="Arial" w:cs="Times New Roman"/>
          <w:b/>
          <w:bCs/>
          <w:i w:val="0"/>
          <w:iCs w:val="0"/>
          <w:caps w:val="0"/>
          <w:color w:val="auto"/>
          <w:spacing w:val="0"/>
          <w:sz w:val="24"/>
          <w:szCs w:val="24"/>
          <w:lang w:val="ru-RU"/>
        </w:rPr>
        <w:t>нучинского МО</w:t>
      </w:r>
      <w:r>
        <w:rPr>
          <w:rFonts w:hint="default" w:ascii="Times New Roman" w:hAnsi="Times New Roman" w:eastAsia="Arial" w:cs="Times New Roman"/>
          <w:b/>
          <w:bCs/>
          <w:i w:val="0"/>
          <w:iCs w:val="0"/>
          <w:caps w:val="0"/>
          <w:color w:val="auto"/>
          <w:spacing w:val="0"/>
          <w:sz w:val="24"/>
          <w:szCs w:val="24"/>
        </w:rPr>
        <w:t>:</w:t>
      </w:r>
    </w:p>
    <w:p w14:paraId="2EE64EFE">
      <w:pPr>
        <w:pStyle w:val="5"/>
        <w:keepNext w:val="0"/>
        <w:keepLines w:val="0"/>
        <w:widowControl/>
        <w:suppressLineNumbers w:val="0"/>
        <w:ind w:left="0" w:firstLine="0"/>
        <w:jc w:val="both"/>
        <w:rPr>
          <w:rFonts w:hint="default" w:ascii="Times New Roman" w:hAnsi="Times New Roman" w:eastAsia="Arial" w:cs="Times New Roman"/>
          <w:i w:val="0"/>
          <w:iCs w:val="0"/>
          <w:caps w:val="0"/>
          <w:color w:val="auto"/>
          <w:spacing w:val="0"/>
          <w:sz w:val="24"/>
          <w:szCs w:val="24"/>
        </w:rPr>
      </w:pPr>
      <w:bookmarkStart w:id="1" w:name="_GoBack"/>
      <w:r>
        <w:rPr>
          <w:rFonts w:hint="default" w:ascii="Times New Roman" w:hAnsi="Times New Roman" w:eastAsia="Arial" w:cs="Times New Roman"/>
          <w:i w:val="0"/>
          <w:iCs w:val="0"/>
          <w:caps w:val="0"/>
          <w:color w:val="auto"/>
          <w:spacing w:val="0"/>
          <w:sz w:val="24"/>
          <w:szCs w:val="24"/>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на территории А</w:t>
      </w:r>
      <w:r>
        <w:rPr>
          <w:rFonts w:hint="default" w:ascii="Times New Roman" w:hAnsi="Times New Roman" w:eastAsia="Arial" w:cs="Times New Roman"/>
          <w:i w:val="0"/>
          <w:iCs w:val="0"/>
          <w:caps w:val="0"/>
          <w:color w:val="auto"/>
          <w:spacing w:val="0"/>
          <w:sz w:val="24"/>
          <w:szCs w:val="24"/>
          <w:lang w:val="ru-RU"/>
        </w:rPr>
        <w:t>нучинского МО</w:t>
      </w:r>
      <w:r>
        <w:rPr>
          <w:rFonts w:hint="default" w:ascii="Times New Roman" w:hAnsi="Times New Roman" w:eastAsia="Arial" w:cs="Times New Roman"/>
          <w:i w:val="0"/>
          <w:iCs w:val="0"/>
          <w:caps w:val="0"/>
          <w:color w:val="auto"/>
          <w:spacing w:val="0"/>
          <w:sz w:val="24"/>
          <w:szCs w:val="24"/>
        </w:rPr>
        <w:t>:</w:t>
      </w:r>
    </w:p>
    <w:bookmarkEnd w:id="1"/>
    <w:tbl>
      <w:tblPr>
        <w:tblW w:w="92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117"/>
        <w:gridCol w:w="2952"/>
        <w:gridCol w:w="3148"/>
      </w:tblGrid>
      <w:tr w14:paraId="67E68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shd w:val="clear"/>
            <w:vAlign w:val="center"/>
          </w:tcPr>
          <w:p w14:paraId="50F64281">
            <w:pPr>
              <w:pStyle w:val="5"/>
              <w:keepNext w:val="0"/>
              <w:keepLines w:val="0"/>
              <w:widowControl/>
              <w:suppressLineNumbers w:val="0"/>
              <w:ind w:left="0" w:firstLine="0"/>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rPr>
              <w:t> </w:t>
            </w:r>
            <w:r>
              <w:rPr>
                <w:rFonts w:hint="default" w:ascii="Times New Roman" w:hAnsi="Times New Roman" w:eastAsia="Arial" w:cs="Times New Roman"/>
                <w:i w:val="0"/>
                <w:iCs w:val="0"/>
                <w:caps w:val="0"/>
                <w:color w:val="auto"/>
                <w:spacing w:val="0"/>
                <w:sz w:val="24"/>
                <w:szCs w:val="24"/>
                <w:bdr w:val="none" w:color="auto" w:sz="0" w:space="0"/>
              </w:rPr>
              <w:t>Наименование и реквизиты акта</w:t>
            </w:r>
          </w:p>
        </w:tc>
        <w:tc>
          <w:tcPr>
            <w:tcW w:w="0" w:type="auto"/>
            <w:shd w:val="clear"/>
            <w:vAlign w:val="center"/>
          </w:tcPr>
          <w:p w14:paraId="1111B0E9">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Краткое описание круга лиц и (или) перечня объектов, в отношении которых устанавливаются обязательные требования</w:t>
            </w:r>
          </w:p>
        </w:tc>
        <w:tc>
          <w:tcPr>
            <w:tcW w:w="3148" w:type="dxa"/>
            <w:shd w:val="clear"/>
            <w:vAlign w:val="center"/>
          </w:tcPr>
          <w:p w14:paraId="58275057">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Указание на структурные единицы акта, соблюдение которых оценивается при проведении мероприятий по контролю</w:t>
            </w:r>
          </w:p>
        </w:tc>
      </w:tr>
      <w:tr w14:paraId="4250E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shd w:val="clear"/>
            <w:vAlign w:val="center"/>
          </w:tcPr>
          <w:p w14:paraId="45DB290A">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u w:val="none"/>
                <w:bdr w:val="none" w:color="auto" w:sz="0" w:space="0"/>
              </w:rPr>
              <w:fldChar w:fldCharType="begin"/>
            </w:r>
            <w:r>
              <w:rPr>
                <w:rFonts w:hint="default" w:ascii="Times New Roman" w:hAnsi="Times New Roman" w:eastAsia="Arial" w:cs="Times New Roman"/>
                <w:i w:val="0"/>
                <w:iCs w:val="0"/>
                <w:caps w:val="0"/>
                <w:color w:val="auto"/>
                <w:spacing w:val="0"/>
                <w:sz w:val="24"/>
                <w:szCs w:val="24"/>
                <w:u w:val="none"/>
                <w:bdr w:val="none" w:color="auto" w:sz="0" w:space="0"/>
              </w:rPr>
              <w:instrText xml:space="preserve"> HYPERLINK "https://ars.town/do%D1%81/munkontrol/85_29012025.docx" </w:instrText>
            </w:r>
            <w:r>
              <w:rPr>
                <w:rFonts w:hint="default" w:ascii="Times New Roman" w:hAnsi="Times New Roman" w:eastAsia="Arial" w:cs="Times New Roman"/>
                <w:i w:val="0"/>
                <w:iCs w:val="0"/>
                <w:caps w:val="0"/>
                <w:color w:val="auto"/>
                <w:spacing w:val="0"/>
                <w:sz w:val="24"/>
                <w:szCs w:val="24"/>
                <w:u w:val="none"/>
                <w:bdr w:val="none" w:color="auto" w:sz="0" w:space="0"/>
              </w:rPr>
              <w:fldChar w:fldCharType="separate"/>
            </w:r>
            <w:r>
              <w:rPr>
                <w:rStyle w:val="4"/>
                <w:rFonts w:hint="default" w:ascii="Times New Roman" w:hAnsi="Times New Roman" w:eastAsia="Arial" w:cs="Times New Roman"/>
                <w:i w:val="0"/>
                <w:iCs w:val="0"/>
                <w:caps w:val="0"/>
                <w:color w:val="auto"/>
                <w:spacing w:val="0"/>
                <w:sz w:val="24"/>
                <w:szCs w:val="24"/>
                <w:u w:val="none"/>
                <w:bdr w:val="none" w:color="auto" w:sz="0" w:space="0"/>
                <w:lang w:val="ru-RU"/>
              </w:rPr>
              <w:t xml:space="preserve">Решение </w:t>
            </w:r>
            <w:r>
              <w:rPr>
                <w:rStyle w:val="4"/>
                <w:rFonts w:hint="default" w:ascii="Times New Roman" w:hAnsi="Times New Roman" w:eastAsia="Arial" w:cs="Times New Roman"/>
                <w:i w:val="0"/>
                <w:iCs w:val="0"/>
                <w:caps w:val="0"/>
                <w:color w:val="auto"/>
                <w:spacing w:val="0"/>
                <w:sz w:val="24"/>
                <w:szCs w:val="24"/>
                <w:u w:val="none"/>
                <w:bdr w:val="none" w:color="auto" w:sz="0" w:space="0"/>
              </w:rPr>
              <w:t>Думы А</w:t>
            </w:r>
            <w:r>
              <w:rPr>
                <w:rStyle w:val="4"/>
                <w:rFonts w:hint="default" w:ascii="Times New Roman" w:hAnsi="Times New Roman" w:eastAsia="Arial" w:cs="Times New Roman"/>
                <w:i w:val="0"/>
                <w:iCs w:val="0"/>
                <w:caps w:val="0"/>
                <w:color w:val="auto"/>
                <w:spacing w:val="0"/>
                <w:sz w:val="24"/>
                <w:szCs w:val="24"/>
                <w:u w:val="none"/>
                <w:bdr w:val="none" w:color="auto" w:sz="0" w:space="0"/>
                <w:lang w:val="ru-RU"/>
              </w:rPr>
              <w:t>нучинского МО</w:t>
            </w:r>
            <w:r>
              <w:rPr>
                <w:rStyle w:val="4"/>
                <w:rFonts w:hint="default" w:ascii="Times New Roman" w:hAnsi="Times New Roman" w:eastAsia="Arial" w:cs="Times New Roman"/>
                <w:i w:val="0"/>
                <w:iCs w:val="0"/>
                <w:caps w:val="0"/>
                <w:color w:val="auto"/>
                <w:spacing w:val="0"/>
                <w:sz w:val="24"/>
                <w:szCs w:val="24"/>
                <w:u w:val="none"/>
                <w:bdr w:val="none" w:color="auto" w:sz="0" w:space="0"/>
              </w:rPr>
              <w:t xml:space="preserve"> от 2</w:t>
            </w:r>
            <w:r>
              <w:rPr>
                <w:rStyle w:val="4"/>
                <w:rFonts w:hint="default" w:ascii="Times New Roman" w:hAnsi="Times New Roman" w:eastAsia="Arial" w:cs="Times New Roman"/>
                <w:i w:val="0"/>
                <w:iCs w:val="0"/>
                <w:caps w:val="0"/>
                <w:color w:val="auto"/>
                <w:spacing w:val="0"/>
                <w:sz w:val="24"/>
                <w:szCs w:val="24"/>
                <w:u w:val="none"/>
                <w:bdr w:val="none" w:color="auto" w:sz="0" w:space="0"/>
                <w:lang w:val="ru-RU"/>
              </w:rPr>
              <w:t>3</w:t>
            </w:r>
            <w:r>
              <w:rPr>
                <w:rStyle w:val="4"/>
                <w:rFonts w:hint="default" w:ascii="Times New Roman" w:hAnsi="Times New Roman" w:eastAsia="Arial" w:cs="Times New Roman"/>
                <w:i w:val="0"/>
                <w:iCs w:val="0"/>
                <w:caps w:val="0"/>
                <w:color w:val="auto"/>
                <w:spacing w:val="0"/>
                <w:sz w:val="24"/>
                <w:szCs w:val="24"/>
                <w:u w:val="none"/>
                <w:bdr w:val="none" w:color="auto" w:sz="0" w:space="0"/>
              </w:rPr>
              <w:t>.</w:t>
            </w:r>
            <w:r>
              <w:rPr>
                <w:rStyle w:val="4"/>
                <w:rFonts w:hint="default" w:ascii="Times New Roman" w:hAnsi="Times New Roman" w:eastAsia="Arial" w:cs="Times New Roman"/>
                <w:i w:val="0"/>
                <w:iCs w:val="0"/>
                <w:caps w:val="0"/>
                <w:color w:val="auto"/>
                <w:spacing w:val="0"/>
                <w:sz w:val="24"/>
                <w:szCs w:val="24"/>
                <w:u w:val="none"/>
                <w:bdr w:val="none" w:color="auto" w:sz="0" w:space="0"/>
                <w:lang w:val="ru-RU"/>
              </w:rPr>
              <w:t>06</w:t>
            </w:r>
            <w:r>
              <w:rPr>
                <w:rStyle w:val="4"/>
                <w:rFonts w:hint="default" w:ascii="Times New Roman" w:hAnsi="Times New Roman" w:eastAsia="Arial" w:cs="Times New Roman"/>
                <w:i w:val="0"/>
                <w:iCs w:val="0"/>
                <w:caps w:val="0"/>
                <w:color w:val="auto"/>
                <w:spacing w:val="0"/>
                <w:sz w:val="24"/>
                <w:szCs w:val="24"/>
                <w:u w:val="none"/>
                <w:bdr w:val="none" w:color="auto" w:sz="0" w:space="0"/>
              </w:rPr>
              <w:t>.20</w:t>
            </w:r>
            <w:r>
              <w:rPr>
                <w:rStyle w:val="4"/>
                <w:rFonts w:hint="default" w:ascii="Times New Roman" w:hAnsi="Times New Roman" w:eastAsia="Arial" w:cs="Times New Roman"/>
                <w:i w:val="0"/>
                <w:iCs w:val="0"/>
                <w:caps w:val="0"/>
                <w:color w:val="auto"/>
                <w:spacing w:val="0"/>
                <w:sz w:val="24"/>
                <w:szCs w:val="24"/>
                <w:u w:val="none"/>
                <w:bdr w:val="none" w:color="auto" w:sz="0" w:space="0"/>
                <w:lang w:val="ru-RU"/>
              </w:rPr>
              <w:t>25</w:t>
            </w:r>
            <w:r>
              <w:rPr>
                <w:rStyle w:val="4"/>
                <w:rFonts w:hint="default" w:ascii="Times New Roman" w:hAnsi="Times New Roman" w:eastAsia="Arial" w:cs="Times New Roman"/>
                <w:i w:val="0"/>
                <w:iCs w:val="0"/>
                <w:caps w:val="0"/>
                <w:color w:val="auto"/>
                <w:spacing w:val="0"/>
                <w:sz w:val="24"/>
                <w:szCs w:val="24"/>
                <w:u w:val="none"/>
                <w:bdr w:val="none" w:color="auto" w:sz="0" w:space="0"/>
              </w:rPr>
              <w:t xml:space="preserve"> № </w:t>
            </w:r>
            <w:r>
              <w:rPr>
                <w:rStyle w:val="4"/>
                <w:rFonts w:hint="default" w:ascii="Times New Roman" w:hAnsi="Times New Roman" w:eastAsia="Arial" w:cs="Times New Roman"/>
                <w:i w:val="0"/>
                <w:iCs w:val="0"/>
                <w:caps w:val="0"/>
                <w:color w:val="auto"/>
                <w:spacing w:val="0"/>
                <w:sz w:val="24"/>
                <w:szCs w:val="24"/>
                <w:u w:val="none"/>
                <w:bdr w:val="none" w:color="auto" w:sz="0" w:space="0"/>
                <w:lang w:val="ru-RU"/>
              </w:rPr>
              <w:t>713</w:t>
            </w:r>
            <w:r>
              <w:rPr>
                <w:rStyle w:val="4"/>
                <w:rFonts w:hint="default" w:ascii="Times New Roman" w:hAnsi="Times New Roman" w:eastAsia="Arial" w:cs="Times New Roman"/>
                <w:i w:val="0"/>
                <w:iCs w:val="0"/>
                <w:caps w:val="0"/>
                <w:color w:val="auto"/>
                <w:spacing w:val="0"/>
                <w:sz w:val="24"/>
                <w:szCs w:val="24"/>
                <w:u w:val="none"/>
                <w:bdr w:val="none" w:color="auto" w:sz="0" w:space="0"/>
              </w:rPr>
              <w:t>-МПА «Правила благоустройства территории Анучинского муниципального округа Приморского края»</w:t>
            </w:r>
            <w:r>
              <w:rPr>
                <w:rFonts w:hint="default" w:ascii="Times New Roman" w:hAnsi="Times New Roman" w:eastAsia="Arial" w:cs="Times New Roman"/>
                <w:i w:val="0"/>
                <w:iCs w:val="0"/>
                <w:caps w:val="0"/>
                <w:color w:val="auto"/>
                <w:spacing w:val="0"/>
                <w:sz w:val="24"/>
                <w:szCs w:val="24"/>
                <w:u w:val="none"/>
                <w:bdr w:val="none" w:color="auto" w:sz="0" w:space="0"/>
              </w:rPr>
              <w:fldChar w:fldCharType="end"/>
            </w:r>
          </w:p>
        </w:tc>
        <w:tc>
          <w:tcPr>
            <w:tcW w:w="0" w:type="auto"/>
            <w:shd w:val="clear"/>
            <w:vAlign w:val="center"/>
          </w:tcPr>
          <w:p w14:paraId="3ADDC321">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Физические и юридические лица, индивидуальные предприниматели</w:t>
            </w:r>
          </w:p>
        </w:tc>
        <w:tc>
          <w:tcPr>
            <w:tcW w:w="3148" w:type="dxa"/>
            <w:shd w:val="clear"/>
            <w:vAlign w:val="center"/>
          </w:tcPr>
          <w:p w14:paraId="05FA9054">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В полном объеме</w:t>
            </w:r>
          </w:p>
        </w:tc>
      </w:tr>
    </w:tbl>
    <w:p w14:paraId="0837A36B">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kern w:val="0"/>
          <w:sz w:val="24"/>
          <w:szCs w:val="24"/>
          <w:lang w:val="en-US" w:eastAsia="zh-CN" w:bidi="ar"/>
        </w:rPr>
        <w:br w:type="textWrapping"/>
      </w:r>
      <w:r>
        <w:rPr>
          <w:rFonts w:hint="default" w:ascii="Times New Roman" w:hAnsi="Times New Roman" w:eastAsia="Arial" w:cs="Times New Roman"/>
          <w:i w:val="0"/>
          <w:iCs w:val="0"/>
          <w:caps w:val="0"/>
          <w:color w:val="auto"/>
          <w:spacing w:val="0"/>
          <w:kern w:val="0"/>
          <w:sz w:val="24"/>
          <w:szCs w:val="24"/>
          <w:lang w:val="en-US" w:eastAsia="zh-CN" w:bidi="ar"/>
        </w:rPr>
        <w:br w:type="textWrapping"/>
      </w:r>
      <w:r>
        <w:rPr>
          <w:rFonts w:hint="default" w:ascii="Times New Roman" w:hAnsi="Times New Roman" w:eastAsia="Arial" w:cs="Times New Roman"/>
          <w:i w:val="0"/>
          <w:iCs w:val="0"/>
          <w:caps w:val="0"/>
          <w:color w:val="auto"/>
          <w:spacing w:val="0"/>
          <w:kern w:val="0"/>
          <w:sz w:val="24"/>
          <w:szCs w:val="24"/>
          <w:shd w:val="clear" w:fill="FFFFFF"/>
          <w:lang w:val="en-US" w:eastAsia="zh-CN" w:bidi="ar"/>
        </w:rPr>
        <w:t>Информация о мерах ответственности, применяемых при нарушении обязательных требований:</w:t>
      </w:r>
    </w:p>
    <w:tbl>
      <w:tblPr>
        <w:tblW w:w="9632" w:type="dxa"/>
        <w:tblInd w:w="-2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076"/>
        <w:gridCol w:w="953"/>
        <w:gridCol w:w="6603"/>
      </w:tblGrid>
      <w:tr w14:paraId="17DC5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shd w:val="clear"/>
            <w:vAlign w:val="center"/>
          </w:tcPr>
          <w:p w14:paraId="129A73DF">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Наименование и реквизиты акта</w:t>
            </w:r>
          </w:p>
        </w:tc>
        <w:tc>
          <w:tcPr>
            <w:tcW w:w="953" w:type="dxa"/>
            <w:shd w:val="clear"/>
            <w:vAlign w:val="center"/>
          </w:tcPr>
          <w:p w14:paraId="0123F4CA">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Указание на структурные единицы акта</w:t>
            </w:r>
          </w:p>
        </w:tc>
        <w:tc>
          <w:tcPr>
            <w:tcW w:w="6603" w:type="dxa"/>
            <w:shd w:val="clear"/>
            <w:vAlign w:val="center"/>
          </w:tcPr>
          <w:p w14:paraId="2D793BD6">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Содержание акта</w:t>
            </w:r>
          </w:p>
        </w:tc>
      </w:tr>
      <w:tr w14:paraId="6A8D7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restart"/>
            <w:shd w:val="clear"/>
            <w:vAlign w:val="center"/>
          </w:tcPr>
          <w:p w14:paraId="23C87028">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u w:val="none"/>
                <w:bdr w:val="none" w:color="auto" w:sz="0" w:space="0"/>
              </w:rPr>
              <w:fldChar w:fldCharType="begin"/>
            </w:r>
            <w:r>
              <w:rPr>
                <w:rFonts w:hint="default" w:ascii="Times New Roman" w:hAnsi="Times New Roman" w:eastAsia="Arial" w:cs="Times New Roman"/>
                <w:i w:val="0"/>
                <w:iCs w:val="0"/>
                <w:caps w:val="0"/>
                <w:color w:val="auto"/>
                <w:spacing w:val="0"/>
                <w:sz w:val="24"/>
                <w:szCs w:val="24"/>
                <w:u w:val="none"/>
                <w:bdr w:val="none" w:color="auto" w:sz="0" w:space="0"/>
              </w:rPr>
              <w:instrText xml:space="preserve"> HYPERLINK "https://docs.cntd.ru/document/494215166" </w:instrText>
            </w:r>
            <w:r>
              <w:rPr>
                <w:rFonts w:hint="default" w:ascii="Times New Roman" w:hAnsi="Times New Roman" w:eastAsia="Arial" w:cs="Times New Roman"/>
                <w:i w:val="0"/>
                <w:iCs w:val="0"/>
                <w:caps w:val="0"/>
                <w:color w:val="auto"/>
                <w:spacing w:val="0"/>
                <w:sz w:val="24"/>
                <w:szCs w:val="24"/>
                <w:u w:val="none"/>
                <w:bdr w:val="none" w:color="auto" w:sz="0" w:space="0"/>
              </w:rPr>
              <w:fldChar w:fldCharType="separate"/>
            </w:r>
            <w:r>
              <w:rPr>
                <w:rStyle w:val="4"/>
                <w:rFonts w:hint="default" w:ascii="Times New Roman" w:hAnsi="Times New Roman" w:eastAsia="Arial" w:cs="Times New Roman"/>
                <w:i w:val="0"/>
                <w:iCs w:val="0"/>
                <w:caps w:val="0"/>
                <w:color w:val="auto"/>
                <w:spacing w:val="0"/>
                <w:sz w:val="24"/>
                <w:szCs w:val="24"/>
                <w:u w:val="none"/>
                <w:bdr w:val="none" w:color="auto" w:sz="0" w:space="0"/>
              </w:rPr>
              <w:t>Закон Приморского края от 05.03.2007 №44-КЗ «Об административных правонарушениях в Приморском крае»</w:t>
            </w:r>
            <w:r>
              <w:rPr>
                <w:rFonts w:hint="default" w:ascii="Times New Roman" w:hAnsi="Times New Roman" w:eastAsia="Arial" w:cs="Times New Roman"/>
                <w:i w:val="0"/>
                <w:iCs w:val="0"/>
                <w:caps w:val="0"/>
                <w:color w:val="auto"/>
                <w:spacing w:val="0"/>
                <w:sz w:val="24"/>
                <w:szCs w:val="24"/>
                <w:u w:val="none"/>
                <w:bdr w:val="none" w:color="auto" w:sz="0" w:space="0"/>
              </w:rPr>
              <w:fldChar w:fldCharType="end"/>
            </w:r>
          </w:p>
        </w:tc>
        <w:tc>
          <w:tcPr>
            <w:tcW w:w="953" w:type="dxa"/>
            <w:shd w:val="clear"/>
            <w:vAlign w:val="center"/>
          </w:tcPr>
          <w:p w14:paraId="0EDD42AE">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статья 7.1</w:t>
            </w:r>
          </w:p>
        </w:tc>
        <w:tc>
          <w:tcPr>
            <w:tcW w:w="6603" w:type="dxa"/>
            <w:shd w:val="clear"/>
            <w:vAlign w:val="center"/>
          </w:tcPr>
          <w:p w14:paraId="799CAF34">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Нарушение норм и правил содержания зданий, ограждений, сооружений, водоемов и элементов оборудования объектов благоустройства</w:t>
            </w:r>
          </w:p>
          <w:p w14:paraId="09126EB9">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1. Нарушение установленных муниципальными нормативными правовыми актами норм и правил содержания зданий, кроме жилых домов, ограждений, сооружений, водоемов, пляжей - </w:t>
            </w:r>
          </w:p>
          <w:p w14:paraId="691B109C">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восьмидесяти тысяч до ста тысяч рублей. </w:t>
            </w:r>
          </w:p>
          <w:p w14:paraId="16D23558">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2. Нарушение установленных муниципальными нормативными правовыми актами норм и правил содержания элементов оборудования объектов благоустройства - малых архитектурных форм, садово-парковой мебели, бункеров, контейнеров, урн - </w:t>
            </w:r>
          </w:p>
          <w:p w14:paraId="7239C1B6">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 </w:t>
            </w:r>
          </w:p>
        </w:tc>
      </w:tr>
      <w:tr w14:paraId="15B58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continue"/>
            <w:shd w:val="clear"/>
            <w:vAlign w:val="center"/>
          </w:tcPr>
          <w:p w14:paraId="171CF70D">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7C682FF6">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статья 7.2</w:t>
            </w:r>
          </w:p>
        </w:tc>
        <w:tc>
          <w:tcPr>
            <w:tcW w:w="6603" w:type="dxa"/>
            <w:shd w:val="clear"/>
            <w:vAlign w:val="center"/>
          </w:tcPr>
          <w:p w14:paraId="60607E45">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Нарушение правил содержания и эксплуатации устройств наружного освещения</w:t>
            </w:r>
          </w:p>
          <w:p w14:paraId="5DC479CA">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1. Нарушение установленных муниципальными нормативными правовыми актами правил содержания и эксплуатации устройств наружного освещения, в том числе непринятие мер по обеспечению в темное время суток наружного освещения улиц - </w:t>
            </w:r>
          </w:p>
          <w:p w14:paraId="3E1292EA">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шестидесяти тысяч рублей. </w:t>
            </w:r>
          </w:p>
          <w:p w14:paraId="2EAC73A1">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2. Несвоевременный демонтаж и вывоз поврежденных устройств наружного освещения - </w:t>
            </w:r>
          </w:p>
          <w:p w14:paraId="0C01505D">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влечет наложение административного штрафа на должностных лиц - от пяти тысяч до десяти тысяч рублей; на юридических лиц - от двадцати пяти тысяч до пятидесяти тысяч рублей.</w:t>
            </w:r>
          </w:p>
        </w:tc>
      </w:tr>
      <w:tr w14:paraId="7405C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continue"/>
            <w:shd w:val="clear"/>
            <w:vAlign w:val="center"/>
          </w:tcPr>
          <w:p w14:paraId="0D8E527E">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0B2E6465">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статья 7.4</w:t>
            </w:r>
          </w:p>
        </w:tc>
        <w:tc>
          <w:tcPr>
            <w:tcW w:w="6603" w:type="dxa"/>
            <w:shd w:val="clear"/>
            <w:vAlign w:val="center"/>
          </w:tcPr>
          <w:p w14:paraId="22F76AD3">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Непринятие мер по установке на фасадах зданий и жилых домов номерных знаков и названий улиц</w:t>
            </w:r>
          </w:p>
          <w:p w14:paraId="3DC5C03B">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Непринятие мер по установке на фасадах зданий и жилых домов, в том числе на домах индивидуальной застройки, номерных знаков и названий улиц - </w:t>
            </w:r>
          </w:p>
          <w:p w14:paraId="7BEB21A0">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должностных лиц - от одной тысячи до двух тысяч рублей; на юридических лиц - от десяти тысяч до двадцати тысяч рублей. </w:t>
            </w:r>
          </w:p>
        </w:tc>
      </w:tr>
      <w:tr w14:paraId="0CDA2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continue"/>
            <w:shd w:val="clear"/>
            <w:vAlign w:val="center"/>
          </w:tcPr>
          <w:p w14:paraId="508B596D">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2128C9BB">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статья 7.14</w:t>
            </w:r>
          </w:p>
        </w:tc>
        <w:tc>
          <w:tcPr>
            <w:tcW w:w="6603" w:type="dxa"/>
            <w:shd w:val="clear"/>
            <w:vAlign w:val="center"/>
          </w:tcPr>
          <w:p w14:paraId="6BBB7120">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Непринятие мер по очистке крыш от снега и льда</w:t>
            </w:r>
          </w:p>
          <w:p w14:paraId="24456CE6">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Непринятие собственниками, владельцами, арендаторами зданий и сооружений, кроме частных жилых домов, мер по очистке крыш от снега и льда на карнизах, крышах и водостоках - </w:t>
            </w:r>
          </w:p>
          <w:p w14:paraId="4DEF644E">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от двух тысяч до пяти тысяч рублей; на должностных лиц - от пяти тысяч до двадцати тысяч рублей; на юридических лиц - от двадцати тысяч до пятидесяти тысяч рублей. </w:t>
            </w:r>
          </w:p>
        </w:tc>
      </w:tr>
      <w:tr w14:paraId="184F5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continue"/>
            <w:shd w:val="clear"/>
            <w:vAlign w:val="center"/>
          </w:tcPr>
          <w:p w14:paraId="2C7DFB13">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16000AB7">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статья 7.16</w:t>
            </w:r>
          </w:p>
        </w:tc>
        <w:tc>
          <w:tcPr>
            <w:tcW w:w="6603" w:type="dxa"/>
            <w:shd w:val="clear"/>
            <w:vAlign w:val="center"/>
          </w:tcPr>
          <w:p w14:paraId="35A106F0">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Невосстановление благоустройства</w:t>
            </w:r>
          </w:p>
          <w:p w14:paraId="033AD112">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Невосстановление благоустройства после производства работ, связанных с нарушением состояния благоустройства территорий, разрушением детских, спортивных площадок, оборудования, установленного на них, малых архитектурных форм, рекламных установок, - </w:t>
            </w:r>
          </w:p>
          <w:p w14:paraId="7989CB75">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ста тысяч до ста пятидесяти тысяч рублей. </w:t>
            </w:r>
          </w:p>
        </w:tc>
      </w:tr>
      <w:tr w14:paraId="2FC5C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continue"/>
            <w:shd w:val="clear"/>
            <w:vAlign w:val="center"/>
          </w:tcPr>
          <w:p w14:paraId="18A7BA0C">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1032C0C3">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статья 7.17</w:t>
            </w:r>
          </w:p>
        </w:tc>
        <w:tc>
          <w:tcPr>
            <w:tcW w:w="6603" w:type="dxa"/>
            <w:shd w:val="clear"/>
            <w:vAlign w:val="center"/>
          </w:tcPr>
          <w:p w14:paraId="55FDF5D2">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Неисполнение обязанности по удалению самовольно размещенных афиш, плакатов, объявлений, агитационных материалов, надписей и изображений</w:t>
            </w:r>
          </w:p>
          <w:p w14:paraId="18ED1FA4">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1. Неисполнение лицами, на которых в силу закона, договора или по иным основаниям возложена обязанность по содержанию зданий, строений, сооружений, объектов благоустройства, объектов инженерной инфраструктуры, установленной правилами благоустройства территории муниципального образования Приморского края обязанности по удалению самовольно размещенных на зданиях, строениях, сооружениях, объектах благоустройства, объектах инженерной инфраструктуры иными лицами афиш, плакатов, объявлений, агитационных материалов, за исключением случаев, установленных </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 \l "p6" </w:instrText>
            </w:r>
            <w:r>
              <w:rPr>
                <w:rFonts w:hint="default" w:ascii="Times New Roman" w:hAnsi="Times New Roman" w:cs="Times New Roman"/>
                <w:color w:val="auto"/>
              </w:rPr>
              <w:fldChar w:fldCharType="separate"/>
            </w:r>
            <w:r>
              <w:rPr>
                <w:rFonts w:hint="default" w:ascii="Times New Roman" w:hAnsi="Times New Roman" w:cs="Times New Roman"/>
                <w:color w:val="auto"/>
              </w:rPr>
              <w:t>частью 2</w:t>
            </w:r>
            <w:r>
              <w:rPr>
                <w:rFonts w:hint="default" w:ascii="Times New Roman" w:hAnsi="Times New Roman" w:cs="Times New Roman"/>
                <w:color w:val="auto"/>
              </w:rPr>
              <w:fldChar w:fldCharType="end"/>
            </w:r>
            <w:r>
              <w:rPr>
                <w:rFonts w:hint="default" w:ascii="Times New Roman" w:hAnsi="Times New Roman" w:cs="Times New Roman"/>
                <w:color w:val="auto"/>
              </w:rPr>
              <w:t xml:space="preserve"> настоящей статьи, - </w:t>
            </w:r>
          </w:p>
          <w:p w14:paraId="06D7906A">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предупреждения или административного штрафа на граждан в размере от одной тысячи до двух тысяч рублей; на должностных лиц - от пяти тысяч до десяти тысяч рублей; на юридических лиц - от десяти тысяч до двадцати тысяч рублей. </w:t>
            </w:r>
          </w:p>
          <w:p w14:paraId="778BB8E9">
            <w:pPr>
              <w:pStyle w:val="5"/>
              <w:keepNext w:val="0"/>
              <w:keepLines w:val="0"/>
              <w:widowControl/>
              <w:suppressLineNumbers w:val="0"/>
              <w:rPr>
                <w:rFonts w:hint="default" w:ascii="Times New Roman" w:hAnsi="Times New Roman" w:cs="Times New Roman"/>
                <w:color w:val="auto"/>
              </w:rPr>
            </w:pPr>
            <w:bookmarkStart w:id="0" w:name="p6"/>
            <w:bookmarkEnd w:id="0"/>
            <w:r>
              <w:rPr>
                <w:rFonts w:hint="default" w:ascii="Times New Roman" w:hAnsi="Times New Roman" w:cs="Times New Roman"/>
                <w:color w:val="auto"/>
              </w:rPr>
              <w:t xml:space="preserve">2. Неисполнение лицами, на которых в силу закона, договора или по иным основаниям возложена обязанность по содержанию зданий, строений, сооружений, объектов благоустройства, объектов инженерной инфраструктуры, установленной правилами благоустройства территории муниципального образования Приморского края обязанности по удалению самовольно размещенных на зданиях, строениях, сооружениях, объектах благоустройства, объектах инженерной инфраструктуры иными лицами любых надписей и изображений, в том числе об объектах, реклама которых не допускается (запрещена) действующим законодательством, - </w:t>
            </w:r>
          </w:p>
          <w:p w14:paraId="76DBDB09">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двадцати тысяч до пятидесяти тысяч рублей. </w:t>
            </w:r>
          </w:p>
          <w:p w14:paraId="1850BFFC">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3. Неисполнение лицами, самовольно разместившими на зданиях, строениях, сооружениях, объектах благоустройства, объектах инженерной инфраструктуры афиши, плакаты, объявления, агитационные материалы, надписи, изображения, в том числе об объектах, реклама которых не допускается (запрещена) действующим законодательством, установленной правилами благоустройства территории муниципального образования Приморского края обязанности по их удалению - </w:t>
            </w:r>
          </w:p>
          <w:p w14:paraId="53F35A32">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пятидесяти тысяч рублей; на юридических лиц - от шестидесяти тысяч до ста тысяч рублей. </w:t>
            </w:r>
          </w:p>
        </w:tc>
      </w:tr>
      <w:tr w14:paraId="22526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continue"/>
            <w:shd w:val="clear"/>
            <w:vAlign w:val="center"/>
          </w:tcPr>
          <w:p w14:paraId="366FE65C">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45094A48">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статья 7.17(1)</w:t>
            </w:r>
          </w:p>
        </w:tc>
        <w:tc>
          <w:tcPr>
            <w:tcW w:w="6603" w:type="dxa"/>
            <w:shd w:val="clear"/>
            <w:vAlign w:val="center"/>
          </w:tcPr>
          <w:p w14:paraId="29506DBF">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Нарушения в сфере содержания мест (площадок) накопления твердых коммунальных отходов</w:t>
            </w:r>
          </w:p>
          <w:p w14:paraId="4FA0B7C3">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1. Нарушение установленных правилами благоустройства территории муниципального образования Приморского края требований к местам (площадкам) накопления твердых коммунальных отходов - </w:t>
            </w:r>
          </w:p>
          <w:p w14:paraId="594A949E">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пятидесяти тысяч рублей. </w:t>
            </w:r>
          </w:p>
          <w:p w14:paraId="4300142D">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2. Нарушение установленного правилами благоустройства территории муниципального образования Приморского края запрета на размещение транспортных средств способом, создающим препятствия для сбора и вывоза твердых коммунальных отходов из мест (площадок) накопления твердых коммунальных отходов в период, предусмотренный графиком вывоза твердых коммунальных отходов, за исключением осуществления указанных действий с целью предотвращения и пресечения правонарушений, проведения спасательных, аварийно-восстановительных и других неотложных работ, необходимых для обеспечения безопасности граждан либо функционирования объектов жизнеобеспечения населения, если ответственность за данное правонарушение не предусмотрена федеральным законодательством, - </w:t>
            </w:r>
          </w:p>
          <w:p w14:paraId="5A98FDCF">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предупреждение или наложение административного штрафа на граждан в размере от одной до трех тысяч рублей; на должностных лиц - от трех тысяч до десяти тысяч рублей; на юридических лиц - от десяти тысяч до пятидесяти тысяч рублей. </w:t>
            </w:r>
          </w:p>
        </w:tc>
      </w:tr>
      <w:tr w14:paraId="040BB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continue"/>
            <w:shd w:val="clear"/>
            <w:vAlign w:val="center"/>
          </w:tcPr>
          <w:p w14:paraId="409C2874">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0FD1E464">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статья 7.21</w:t>
            </w:r>
          </w:p>
        </w:tc>
        <w:tc>
          <w:tcPr>
            <w:tcW w:w="6603" w:type="dxa"/>
            <w:shd w:val="clear"/>
            <w:vAlign w:val="center"/>
          </w:tcPr>
          <w:p w14:paraId="11CF51A1">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Нарушение иных норм и правил в сфере благоустройства, установленных муниципальными нормативными правовыми актами</w:t>
            </w:r>
          </w:p>
          <w:p w14:paraId="4094FE7C">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lang w:val="en-US" w:eastAsia="zh-CN"/>
              </w:rPr>
              <w:t> </w:t>
            </w:r>
            <w:r>
              <w:rPr>
                <w:rFonts w:hint="default" w:ascii="Times New Roman" w:hAnsi="Times New Roman" w:cs="Times New Roman"/>
                <w:color w:val="auto"/>
              </w:rPr>
              <w:t xml:space="preserve">Нарушение иных норм и правил в сфере благоустройства, установленных муниципальными нормативными правовыми актами, - </w:t>
            </w:r>
          </w:p>
          <w:p w14:paraId="73F03469">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от трех тысяч до пяти тысяч рублей; на должностных лиц - от пяти тысяч до двадцати пяти тысяч рублей; на юридических лиц - от восьмидесяти тысяч до ста тысяч рублей. </w:t>
            </w:r>
          </w:p>
        </w:tc>
      </w:tr>
      <w:tr w14:paraId="2D330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continue"/>
            <w:shd w:val="clear"/>
            <w:vAlign w:val="center"/>
          </w:tcPr>
          <w:p w14:paraId="00B9EA6F">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3A419F39">
            <w:pPr>
              <w:pStyle w:val="5"/>
              <w:keepNext w:val="0"/>
              <w:keepLines w:val="0"/>
              <w:widowControl/>
              <w:suppressLineNumbers w:val="0"/>
              <w:jc w:val="center"/>
              <w:rPr>
                <w:rFonts w:hint="default" w:ascii="Times New Roman" w:hAnsi="Times New Roman" w:eastAsia="Arial" w:cs="Times New Roman"/>
                <w:i w:val="0"/>
                <w:iCs w:val="0"/>
                <w:caps w:val="0"/>
                <w:color w:val="auto"/>
                <w:spacing w:val="0"/>
                <w:sz w:val="24"/>
                <w:szCs w:val="24"/>
                <w:bdr w:val="none" w:color="auto" w:sz="0" w:space="0"/>
                <w:lang w:val="ru-RU"/>
              </w:rPr>
            </w:pPr>
            <w:r>
              <w:rPr>
                <w:rFonts w:hint="default" w:ascii="Times New Roman" w:hAnsi="Times New Roman" w:eastAsia="Arial" w:cs="Times New Roman"/>
                <w:i w:val="0"/>
                <w:iCs w:val="0"/>
                <w:caps w:val="0"/>
                <w:color w:val="auto"/>
                <w:spacing w:val="0"/>
                <w:sz w:val="24"/>
                <w:szCs w:val="24"/>
                <w:bdr w:val="none" w:color="auto" w:sz="0" w:space="0"/>
                <w:lang w:val="ru-RU"/>
              </w:rPr>
              <w:t>статья 7.22</w:t>
            </w:r>
          </w:p>
        </w:tc>
        <w:tc>
          <w:tcPr>
            <w:tcW w:w="6603" w:type="dxa"/>
            <w:shd w:val="clear"/>
            <w:vAlign w:val="center"/>
          </w:tcPr>
          <w:p w14:paraId="50FD8D99">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Нарушение правил содержания систем водоснабжения, канализации, теплоснабжения</w:t>
            </w:r>
          </w:p>
          <w:p w14:paraId="447F50D5">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1. Непринятие мер по очистке ливневой канализации и водоотводящих сооружений, их ненадлежащее содержание - </w:t>
            </w:r>
          </w:p>
          <w:p w14:paraId="76821EBB">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восьмидесяти тысяч до ста тысяч рублей. </w:t>
            </w:r>
          </w:p>
          <w:p w14:paraId="40D9FED3">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2. Непринятие мер по устранению течи водопроводной, канализационной или тепловой сети, содержание в неисправном состоянии колодцев и люков - </w:t>
            </w:r>
          </w:p>
          <w:p w14:paraId="7D8CF2A7">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должностных лиц в размере от пяти тысяч до десяти тысяч рублей; на юридических лиц - от восьмидесяти тысяч до ста тысяч рублей. </w:t>
            </w:r>
          </w:p>
        </w:tc>
      </w:tr>
      <w:tr w14:paraId="48D5F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continue"/>
            <w:shd w:val="clear"/>
            <w:vAlign w:val="center"/>
          </w:tcPr>
          <w:p w14:paraId="105A6515">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47BF52F1">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статья 7.23</w:t>
            </w:r>
          </w:p>
        </w:tc>
        <w:tc>
          <w:tcPr>
            <w:tcW w:w="6603" w:type="dxa"/>
            <w:shd w:val="clear"/>
            <w:vAlign w:val="center"/>
          </w:tcPr>
          <w:p w14:paraId="39E62354">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Размещение нестационарных торговых объектов с нарушением схемы размещения нестационарных торговых объектов</w:t>
            </w:r>
          </w:p>
          <w:p w14:paraId="4AF36C60">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1. Размещение нестационарных торговых объектов с нарушением схемы размещения нестационарных торговых объектов, утвержденной правовым актом органа местного самоуправления, - </w:t>
            </w:r>
          </w:p>
          <w:p w14:paraId="473C020B">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четырех тысяч рублей; на должностных лиц - от двадцати пяти тысяч до сорока тысяч рублей; на юридических лиц - от пятидесяти тысяч до ста тысяч рублей. </w:t>
            </w:r>
          </w:p>
          <w:p w14:paraId="02F18520">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2. Повторное в течение года совершение административного правонарушения, предусмотренного частью 1 настоящей статьи, - </w:t>
            </w:r>
          </w:p>
          <w:p w14:paraId="277D665E">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пяти тысяч рублей; на должностных лиц - от сорока тысяч до пятидесяти тысяч рублей; на юридических лиц - от ста тысяч до ста пятидесяти тысяч рублей. </w:t>
            </w:r>
          </w:p>
        </w:tc>
      </w:tr>
      <w:tr w14:paraId="13731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continue"/>
            <w:shd w:val="clear"/>
            <w:vAlign w:val="center"/>
          </w:tcPr>
          <w:p w14:paraId="0A87E204">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5F4FC875">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статья 7.24</w:t>
            </w:r>
          </w:p>
        </w:tc>
        <w:tc>
          <w:tcPr>
            <w:tcW w:w="6603" w:type="dxa"/>
            <w:shd w:val="clear"/>
            <w:vAlign w:val="center"/>
          </w:tcPr>
          <w:p w14:paraId="16E7066E">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Организация несанкционированной свалки отходов</w:t>
            </w:r>
          </w:p>
          <w:p w14:paraId="6B791781">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Организация несанкционированной свалки отходов - 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двухсот пятидесяти тысяч до пятисот тысяч рублей. </w:t>
            </w:r>
          </w:p>
        </w:tc>
      </w:tr>
      <w:tr w14:paraId="173A3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vMerge w:val="continue"/>
            <w:shd w:val="clear"/>
            <w:vAlign w:val="center"/>
          </w:tcPr>
          <w:p w14:paraId="06E094A8">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646530A7">
            <w:pPr>
              <w:pStyle w:val="5"/>
              <w:keepNext w:val="0"/>
              <w:keepLines w:val="0"/>
              <w:widowControl/>
              <w:suppressLineNumbers w:val="0"/>
              <w:jc w:val="center"/>
              <w:rPr>
                <w:rFonts w:hint="default" w:ascii="Times New Roman" w:hAnsi="Times New Roman" w:cs="Times New Roman"/>
                <w:color w:val="auto"/>
              </w:rPr>
            </w:pPr>
            <w:r>
              <w:rPr>
                <w:rFonts w:hint="default" w:ascii="Times New Roman" w:hAnsi="Times New Roman" w:eastAsia="Arial" w:cs="Times New Roman"/>
                <w:i w:val="0"/>
                <w:iCs w:val="0"/>
                <w:caps w:val="0"/>
                <w:color w:val="auto"/>
                <w:spacing w:val="0"/>
                <w:sz w:val="24"/>
                <w:szCs w:val="24"/>
                <w:bdr w:val="none" w:color="auto" w:sz="0" w:space="0"/>
              </w:rPr>
              <w:t>статья 7.25</w:t>
            </w:r>
          </w:p>
        </w:tc>
        <w:tc>
          <w:tcPr>
            <w:tcW w:w="6603" w:type="dxa"/>
            <w:shd w:val="clear"/>
            <w:vAlign w:val="center"/>
          </w:tcPr>
          <w:p w14:paraId="2BE93210">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Сброс мусора, иных отходов производства и потребления вне специально отведенных для этого мест</w:t>
            </w:r>
          </w:p>
          <w:p w14:paraId="4CD8DBD5">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Сброс мусора, иных отходов производства и потребления вне специально отведенных для этого мест - </w:t>
            </w:r>
          </w:p>
          <w:p w14:paraId="7474BB3B">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двухсот пятидесяти тысяч до пятисот тысяч рублей. </w:t>
            </w:r>
          </w:p>
        </w:tc>
      </w:tr>
      <w:tr w14:paraId="316B1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076" w:type="dxa"/>
            <w:shd w:val="clear"/>
            <w:vAlign w:val="center"/>
          </w:tcPr>
          <w:p w14:paraId="7D21E0F4">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4EB9A6E2">
            <w:pPr>
              <w:pStyle w:val="5"/>
              <w:keepNext w:val="0"/>
              <w:keepLines w:val="0"/>
              <w:widowControl/>
              <w:suppressLineNumbers w:val="0"/>
              <w:jc w:val="center"/>
              <w:rPr>
                <w:rFonts w:hint="default" w:ascii="Times New Roman" w:hAnsi="Times New Roman" w:eastAsia="Arial" w:cs="Times New Roman"/>
                <w:i w:val="0"/>
                <w:iCs w:val="0"/>
                <w:caps w:val="0"/>
                <w:color w:val="auto"/>
                <w:spacing w:val="0"/>
                <w:sz w:val="24"/>
                <w:szCs w:val="24"/>
                <w:bdr w:val="none" w:color="auto" w:sz="0" w:space="0"/>
                <w:lang w:val="ru-RU"/>
              </w:rPr>
            </w:pPr>
            <w:r>
              <w:rPr>
                <w:rFonts w:hint="default" w:ascii="Times New Roman" w:hAnsi="Times New Roman" w:eastAsia="Arial" w:cs="Times New Roman"/>
                <w:i w:val="0"/>
                <w:iCs w:val="0"/>
                <w:caps w:val="0"/>
                <w:color w:val="auto"/>
                <w:spacing w:val="0"/>
                <w:sz w:val="24"/>
                <w:szCs w:val="24"/>
                <w:bdr w:val="none" w:color="auto" w:sz="0" w:space="0"/>
                <w:lang w:val="ru-RU"/>
              </w:rPr>
              <w:t>статья 7.26</w:t>
            </w:r>
          </w:p>
        </w:tc>
        <w:tc>
          <w:tcPr>
            <w:tcW w:w="6603" w:type="dxa"/>
            <w:shd w:val="clear"/>
            <w:vAlign w:val="center"/>
          </w:tcPr>
          <w:p w14:paraId="35A3EF32">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Нарушение порядка накопления твердых коммунальных отходов</w:t>
            </w:r>
          </w:p>
          <w:p w14:paraId="42A30C9D">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1. Нарушение установленного нормативным правовым актом Приморского края порядка накопления твердых коммунальных отходов (в том числе их раздельного накопления) на территории Приморского края - </w:t>
            </w:r>
          </w:p>
          <w:p w14:paraId="4C6E47F8">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от двух до четырех тысяч рублей; на должностных лиц - от двадцати тысяч до тридцати тысяч рублей; на юридических лиц - от ста тысяч до двухсот пятидесяти тысяч рублей. </w:t>
            </w:r>
          </w:p>
          <w:p w14:paraId="1E6A4F1B">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2. Совершение административного правонарушения, предусмотренного частью 1 настоящей статьи, повторно - </w:t>
            </w:r>
          </w:p>
          <w:p w14:paraId="09B4BD48">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пятидесяти тысяч рублей; на юридических лиц - от двухсот пятидесяти тысяч до пятисот тысяч рублей. </w:t>
            </w:r>
          </w:p>
        </w:tc>
      </w:tr>
      <w:tr w14:paraId="7D799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076" w:type="dxa"/>
            <w:shd w:val="clear"/>
            <w:vAlign w:val="center"/>
          </w:tcPr>
          <w:p w14:paraId="7908E1B0">
            <w:pPr>
              <w:rPr>
                <w:rFonts w:hint="default" w:ascii="Times New Roman" w:hAnsi="Times New Roman" w:eastAsia="Arial" w:cs="Times New Roman"/>
                <w:i w:val="0"/>
                <w:iCs w:val="0"/>
                <w:caps w:val="0"/>
                <w:color w:val="auto"/>
                <w:spacing w:val="0"/>
                <w:sz w:val="24"/>
                <w:szCs w:val="24"/>
              </w:rPr>
            </w:pPr>
          </w:p>
        </w:tc>
        <w:tc>
          <w:tcPr>
            <w:tcW w:w="953" w:type="dxa"/>
            <w:shd w:val="clear"/>
            <w:vAlign w:val="center"/>
          </w:tcPr>
          <w:p w14:paraId="68F28248">
            <w:pPr>
              <w:pStyle w:val="5"/>
              <w:keepNext w:val="0"/>
              <w:keepLines w:val="0"/>
              <w:widowControl/>
              <w:suppressLineNumbers w:val="0"/>
              <w:jc w:val="center"/>
              <w:rPr>
                <w:rFonts w:hint="default" w:ascii="Times New Roman" w:hAnsi="Times New Roman" w:eastAsia="Arial" w:cs="Times New Roman"/>
                <w:i w:val="0"/>
                <w:iCs w:val="0"/>
                <w:caps w:val="0"/>
                <w:color w:val="auto"/>
                <w:spacing w:val="0"/>
                <w:sz w:val="24"/>
                <w:szCs w:val="24"/>
                <w:bdr w:val="none" w:color="auto" w:sz="0" w:space="0"/>
                <w:lang w:val="ru-RU"/>
              </w:rPr>
            </w:pPr>
            <w:r>
              <w:rPr>
                <w:rFonts w:hint="default" w:ascii="Times New Roman" w:hAnsi="Times New Roman" w:eastAsia="Arial" w:cs="Times New Roman"/>
                <w:i w:val="0"/>
                <w:iCs w:val="0"/>
                <w:color w:val="auto"/>
                <w:spacing w:val="0"/>
                <w:sz w:val="24"/>
                <w:szCs w:val="24"/>
                <w:bdr w:val="none" w:color="auto" w:sz="0" w:space="0"/>
                <w:lang w:val="ru-RU"/>
              </w:rPr>
              <w:t>с</w:t>
            </w:r>
            <w:r>
              <w:rPr>
                <w:rFonts w:hint="default" w:ascii="Times New Roman" w:hAnsi="Times New Roman" w:eastAsia="Arial" w:cs="Times New Roman"/>
                <w:i w:val="0"/>
                <w:iCs w:val="0"/>
                <w:caps w:val="0"/>
                <w:color w:val="auto"/>
                <w:spacing w:val="0"/>
                <w:sz w:val="24"/>
                <w:szCs w:val="24"/>
                <w:bdr w:val="none" w:color="auto" w:sz="0" w:space="0"/>
                <w:lang w:val="ru-RU"/>
              </w:rPr>
              <w:t>татья 7.28</w:t>
            </w:r>
          </w:p>
        </w:tc>
        <w:tc>
          <w:tcPr>
            <w:tcW w:w="6603" w:type="dxa"/>
            <w:shd w:val="clear"/>
            <w:vAlign w:val="center"/>
          </w:tcPr>
          <w:p w14:paraId="040A99F7">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Размещение транспортных средств на озелененных территориях, детских и спортивных площадках, иных объектах благоустройства</w:t>
            </w:r>
          </w:p>
          <w:p w14:paraId="2591192A">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Нарушение установленного муниципальными нормативными правовыми актами запрета на размещение транспортных средств на озелененных территориях в границах населенных пунктов (включая газоны, цветники и иные территории, занятые травянистыми растениями), детских и спортивных площадках, а также на иных объектах благоустройства - </w:t>
            </w:r>
          </w:p>
          <w:p w14:paraId="3B8E4A1C">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влечет наложение административного штрафа на граждан в размере от трех тысяч до пяти тысяч рублей; на должностных лиц - от пяти тысяч до двадцати тысяч рублей; на юридических лиц - от пятидесяти тысяч до ста тысяч рублей. </w:t>
            </w:r>
          </w:p>
          <w:p w14:paraId="34A84074">
            <w:pPr>
              <w:pStyle w:val="5"/>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Примечание. Положения настоящей статьи не распространяются на действия юридических лиц и граждан, направленные на предотвращение противоправных деяний, предотвращение и ликвидацию последствий аварий, стихийных бедствий, иных чрезвычайных ситуаций, тушение пожаров, проведение неотложных работ, связанных с обеспечением безопасности граждан или функционированием объектов жизнеобеспечения населения, выполнение оборонных мероприятий (в том числе мероприятий по гражданской обороне и мобилизации), обеспечение обороноспособности и безопасности государства, охрану общественного порядка и общественной безопасности, спасение граждан, устранение угрозы их жизни или здоровью. </w:t>
            </w:r>
          </w:p>
        </w:tc>
      </w:tr>
    </w:tbl>
    <w:p w14:paraId="7954EEE2">
      <w:pPr>
        <w:keepNext w:val="0"/>
        <w:keepLines w:val="0"/>
        <w:widowControl/>
        <w:suppressLineNumbers w:val="0"/>
        <w:jc w:val="left"/>
        <w:rPr>
          <w:rFonts w:hint="default" w:ascii="Times New Roman" w:hAnsi="Times New Roman" w:cs="Times New Roman"/>
          <w:color w:val="auto"/>
        </w:rPr>
      </w:pPr>
    </w:p>
    <w:p w14:paraId="12299058">
      <w:pPr>
        <w:rPr>
          <w:rFonts w:hint="default" w:ascii="Times New Roman" w:hAnsi="Times New Roman" w:cs="Times New Roman"/>
          <w:color w:val="auto"/>
        </w:rPr>
      </w:pP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E77F92"/>
    <w:rsid w:val="2302212B"/>
    <w:rsid w:val="35E77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7</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2026-03-03T00:31:00Z</dcterms:created>
  <dc:creator>MehovskiyVV</dc:creator>
  <cp:lastModifiedBy>MehovskiyVV</cp:lastModifiedBy>
  <dcterms:modified xsi:type="dcterms:W3CDTF">2026-03-03T01:00:15Z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0657A241E1F94892BCDC108036BCB8B8_11</vt:lpwstr>
  </property>
</Properties>
</file>