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E55D7">
      <w:pPr>
        <w:jc w:val="center"/>
        <w:rPr>
          <w:rFonts w:hint="default" w:ascii="Times New Roman" w:hAnsi="Times New Roman" w:cs="Times New Roman"/>
          <w:sz w:val="28"/>
          <w:szCs w:val="28"/>
          <w:lang w:eastAsia="en-US"/>
        </w:rPr>
      </w:pPr>
      <w:r>
        <w:rPr>
          <w:rFonts w:hint="default" w:ascii="Times New Roman" w:hAnsi="Times New Roman" w:cs="Times New Roman"/>
          <w:sz w:val="28"/>
          <w:szCs w:val="28"/>
          <w:lang w:eastAsia="en-US"/>
        </w:rPr>
        <w:t xml:space="preserve">Информирование </w:t>
      </w:r>
    </w:p>
    <w:p w14:paraId="63007A98">
      <w:pPr>
        <w:jc w:val="center"/>
        <w:rPr>
          <w:rFonts w:hint="default" w:ascii="Times New Roman" w:hAnsi="Times New Roman" w:cs="Times New Roman"/>
          <w:sz w:val="28"/>
          <w:szCs w:val="28"/>
          <w:lang w:val="ru-RU" w:eastAsia="en-US"/>
        </w:rPr>
      </w:pPr>
      <w:r>
        <w:rPr>
          <w:rFonts w:hint="default" w:ascii="Times New Roman" w:hAnsi="Times New Roman" w:cs="Times New Roman"/>
          <w:sz w:val="28"/>
          <w:szCs w:val="28"/>
          <w:lang w:eastAsia="en-US"/>
        </w:rPr>
        <w:t>юридических лиц, индивидуальных предпринимателей по вопросам соблюдения обязательных требований</w:t>
      </w:r>
      <w:r>
        <w:rPr>
          <w:rFonts w:hint="default" w:ascii="Times New Roman" w:hAnsi="Times New Roman" w:cs="Times New Roman"/>
          <w:sz w:val="28"/>
          <w:szCs w:val="28"/>
          <w:lang w:val="ru-RU" w:eastAsia="en-US"/>
        </w:rPr>
        <w:t xml:space="preserve"> земельного законодательства Российской Федерации.</w:t>
      </w:r>
    </w:p>
    <w:p w14:paraId="166D5C79">
      <w:pPr>
        <w:jc w:val="center"/>
        <w:rPr>
          <w:rFonts w:hint="default" w:ascii="Times New Roman" w:hAnsi="Times New Roman" w:cs="Times New Roman"/>
          <w:sz w:val="28"/>
          <w:szCs w:val="28"/>
          <w:lang w:val="ru-RU" w:eastAsia="en-US"/>
        </w:rPr>
      </w:pPr>
    </w:p>
    <w:p w14:paraId="3C544737">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10.03.2022г. вышло Постановление Правительства Российской Федерации №336 «Об особенностях организации и осуществления государственного контроля (надзора), муниципального контроля». В соответствии с этим документом проведение плановых проверок соблюдения земельного законодательства в 2024 году не предусматривается.</w:t>
      </w:r>
    </w:p>
    <w:p w14:paraId="7A5977C3">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В 2024 году в рамках муниципального земельного контроля (надзора) внеплановые проверки  могут проводиться исключительно по следующим основаниям:</w:t>
      </w:r>
    </w:p>
    <w:p w14:paraId="40BFEC74">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а) при условии согласования с органами прокуратуры:</w:t>
      </w:r>
    </w:p>
    <w:p w14:paraId="7FD12FC8">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при непосредственной угрозе причинения вреда жизни и тяжкого вреда здоровью граждан, по фактам причинения вреда жизни и тяжкого вреда здоровью граждан;</w:t>
      </w:r>
    </w:p>
    <w:p w14:paraId="041BCB01">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при непосредственной угрозе обороне страны и безопасности государства, по фактам причинения вреда обороне страны и безопасности государства;</w:t>
      </w:r>
    </w:p>
    <w:p w14:paraId="3076E95C">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при непосредственной угрозе возникновения чрезвычайных ситуаций природного и (или) техногенного характера, по фактам возникновения чрезвычайных ситуаций природного и (или) техногенного характера;</w:t>
      </w:r>
    </w:p>
    <w:p w14:paraId="589C3258">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при выявлении индикаторов риска нарушения обязательных требований;</w:t>
      </w:r>
    </w:p>
    <w:p w14:paraId="0F036F09">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в случае необходимости проведения внеплановой выездной проверки, внепланового инспекционного визита в связи с истечением срока исполнения предписания, выданного до 01.03.2023г., о принятии мер, направленных на устранение нарушений, влекущих непосредственную угрозу причинения вреда жизни и тяжкого вреда здоровью граждан, обороне страны и безопасности государства, возникновения чрезвычайных ситуаций природного и (или) техногенного характера. Внеплановая выездная проверка и внеплановый инспекционный визит проводятся исключительно в случаях невозможности оценки исполнения предписания на основании документов, иной имеющейся в распоряжении контрольного (надзорного) органа информации;</w:t>
      </w:r>
    </w:p>
    <w:p w14:paraId="323E4578">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по решению руководителя, заместителя руководителя Федеральной налоговой службы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(за исключением случаев, установленных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"https://login.consultant.ru/link/?req=doc&amp;base=RZB&amp;n=465728&amp;dst=101254"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частью 7 статьи 75</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Федерального закона «О государственном контроле (надзоре) и муниципальном контроле в Российской Федерации»);</w:t>
      </w:r>
    </w:p>
    <w:p w14:paraId="175F497A">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по истечении срока исполнения предписания об устранении выявленного нарушения обязательных требований, выданных после 01.03.2023г., за исключением случая, предусмотренного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"https://login.consultant.ru/link/?req=doc&amp;base=RZB&amp;n=477091&amp;dst=100119"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абзацем двенадцатым подпункта «б»</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настоящего пункта;</w:t>
      </w:r>
    </w:p>
    <w:p w14:paraId="1CE5C1D9">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б) без согласования с органами прокуратуры:</w:t>
      </w:r>
    </w:p>
    <w:p w14:paraId="4E2B68D1">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по поручению Президента Российской Федерации;</w:t>
      </w:r>
    </w:p>
    <w:p w14:paraId="7E54398D">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по поручению Председателя Правительства Российской Федерации, принятому после вступления в силу настоящего постановления;</w:t>
      </w:r>
    </w:p>
    <w:p w14:paraId="3F9AB800">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по поручению Заместителя Председателя Правительства Российской Федерации, принятому после вступления в силу настоящего постановления и согласованному с Заместителем Председателя Правительства Российской Федерации - Руководителем Аппарата Правительства Российской Федерации;</w:t>
      </w:r>
    </w:p>
    <w:p w14:paraId="7086FF38">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по требованию прокурора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B79B30D">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внеплановые проверки, основания для проведения которых установлены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"https://login.consultant.ru/link/?req=doc&amp;base=RZB&amp;n=454999&amp;dst=317"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п.1.1 ч.2 ст.10</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0A52FBC0">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по истечении срока исполнения предписания об устранении выявленного нарушения обязательных требований, которое выдано после 01.03.2023г. по результатам внепланового контрольного (надзорного) мероприятия, проведенного на основании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"https://tsimlyanskoe-gp.donland.ru/documents/other/329724/" \l "Par5"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абзаца шестого</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настоящего подпункта;</w:t>
      </w:r>
    </w:p>
    <w:p w14:paraId="11313CC6">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в) с извещением органов прокуратуры в отношении некоммерческих организаций по основаниям, установленным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"https://login.consultant.ru/link/?req=doc&amp;base=RZB&amp;n=463532&amp;dst=100368"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подпунктами 2</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"https://login.consultant.ru/link/?req=doc&amp;base=RZB&amp;n=463532&amp;dst=444"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3</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"https://login.consultant.ru/link/?req=doc&amp;base=RZB&amp;n=463532&amp;dst=100329"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5</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и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"https://login.consultant.ru/link/?req=doc&amp;base=RZB&amp;n=463532&amp;dst=453"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6 пункта 4.2 статьи 32</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Федерального закона «О некоммерческих организациях», а также религиозных организаций по основанию, установленному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"https://login.consultant.ru/link/?req=doc&amp;base=RZB&amp;n=474036&amp;dst=74"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абзацем третьим пункта 5 статьи 25</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Федерального закона «О свободе совести и о религиозных объединениях».</w:t>
      </w:r>
    </w:p>
    <w:p w14:paraId="12929E8C">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Выдача предписаний по итогам проведения контрольных (надзорных) мероприятий без взаимодействия с контролируемым лицом не допускается.</w:t>
      </w:r>
    </w:p>
    <w:p w14:paraId="6A7DD79C">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xml:space="preserve">Согласно ст.72 Земельного Кодекса Российской Федерации муниципальный земельный контроль осуществляется уполномоченными органами местного самоуправления в соответствии с положением, утверждаемым </w:t>
      </w:r>
      <w:r>
        <w:rPr>
          <w:rFonts w:hint="default" w:ascii="Times New Roman" w:hAnsi="Times New Roman" w:eastAsia="Courier New" w:cs="Times New Roman"/>
          <w:i w:val="0"/>
          <w:iCs w:val="0"/>
          <w:sz w:val="28"/>
          <w:szCs w:val="28"/>
          <w:lang w:val="en-US" w:eastAsia="ru-RU"/>
        </w:rPr>
        <w:t>Решением Думы Анучинского муниципального округа Приморского края от 27.03.2024г. №547-НПА «Об утверждении Положения о муниципальном земельном контроле в границах Анучинского муниципального округа»,</w:t>
      </w:r>
      <w:r>
        <w:rPr>
          <w:rFonts w:hint="default" w:ascii="Times New Roman" w:hAnsi="Times New Roman" w:cs="Times New Roman"/>
          <w:sz w:val="28"/>
          <w:szCs w:val="28"/>
          <w:lang w:val="ru-RU" w:eastAsia="en-US"/>
        </w:rPr>
        <w:t xml:space="preserve"> установлены критерии отнесения используемых гражданами, юридическими лицами и (или) индивидуальными предпринимателями земельных участков, правообладателями, которых они являются, к определенной категории риска при осуществлении муниципального земельного контроля:</w:t>
      </w:r>
    </w:p>
    <w:p w14:paraId="2FD0FC0B">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 К категории среднего риска относятся:</w:t>
      </w:r>
    </w:p>
    <w:p w14:paraId="6A49B2BB">
      <w:pPr>
        <w:pStyle w:val="6"/>
        <w:ind w:left="0" w:leftChars="0" w:firstLine="0" w:firstLineChars="0"/>
        <w:jc w:val="both"/>
        <w:rPr>
          <w:rFonts w:ascii="Times New Roman" w:hAnsi="Times New Roman" w:cs="Times New Roman"/>
        </w:rPr>
      </w:pPr>
      <w:r>
        <w:rPr>
          <w:rFonts w:ascii="Times New Roman" w:hAnsi="Times New Roman" w:cs="Times New Roman"/>
          <w:color w:val="000000"/>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2FB23800">
      <w:pPr>
        <w:jc w:val="both"/>
        <w:rPr>
          <w:rFonts w:hint="default" w:ascii="Times New Roman" w:hAnsi="Times New Roman" w:cs="Times New Roman"/>
          <w:color w:val="000000"/>
          <w:sz w:val="28"/>
          <w:szCs w:val="28"/>
          <w:lang w:val="ru-RU"/>
        </w:rPr>
      </w:pPr>
      <w:r>
        <w:rPr>
          <w:rFonts w:ascii="Times New Roman" w:hAnsi="Times New Roman" w:cs="Times New Roman"/>
          <w:color w:val="000000"/>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r>
        <w:rPr>
          <w:rFonts w:hint="default" w:ascii="Times New Roman" w:hAnsi="Times New Roman" w:cs="Times New Roman"/>
          <w:color w:val="000000"/>
          <w:sz w:val="28"/>
          <w:szCs w:val="28"/>
          <w:lang w:val="ru-RU"/>
        </w:rPr>
        <w:t>.</w:t>
      </w:r>
    </w:p>
    <w:p w14:paraId="4FBBEBA3">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2. К категории умеренного риска относятся земельные участки:</w:t>
      </w:r>
    </w:p>
    <w:p w14:paraId="5875C6AE">
      <w:pPr>
        <w:pStyle w:val="6"/>
        <w:ind w:left="0" w:leftChars="0" w:firstLine="0" w:firstLineChars="0"/>
        <w:jc w:val="both"/>
        <w:rPr>
          <w:rFonts w:ascii="Times New Roman" w:hAnsi="Times New Roman" w:cs="Times New Roman"/>
        </w:rPr>
      </w:pPr>
      <w:r>
        <w:rPr>
          <w:rFonts w:ascii="Times New Roman" w:hAnsi="Times New Roman" w:cs="Times New Roman"/>
          <w:color w:val="000000"/>
          <w:sz w:val="28"/>
          <w:szCs w:val="28"/>
        </w:rPr>
        <w:t>а) относящиеся к категории земель населенных пунктов;</w:t>
      </w:r>
    </w:p>
    <w:p w14:paraId="0EC5C010">
      <w:pPr>
        <w:pStyle w:val="6"/>
        <w:ind w:left="0" w:leftChars="0" w:firstLine="0" w:firstLineChars="0"/>
        <w:jc w:val="both"/>
        <w:rPr>
          <w:rFonts w:ascii="Times New Roman" w:hAnsi="Times New Roman" w:cs="Times New Roman"/>
        </w:rPr>
      </w:pPr>
      <w:r>
        <w:rPr>
          <w:rFonts w:ascii="Times New Roman" w:hAnsi="Times New Roman" w:cs="Times New Roman"/>
          <w:color w:val="000000"/>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542144B5">
      <w:pPr>
        <w:pStyle w:val="6"/>
        <w:ind w:left="0" w:leftChars="0" w:firstLine="0" w:firstLineChars="0"/>
        <w:jc w:val="both"/>
        <w:rPr>
          <w:rFonts w:ascii="Times New Roman" w:hAnsi="Times New Roman" w:cs="Times New Roman"/>
        </w:rPr>
      </w:pPr>
      <w:r>
        <w:rPr>
          <w:rFonts w:ascii="Times New Roman" w:hAnsi="Times New Roman" w:cs="Times New Roman"/>
          <w:color w:val="000000"/>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1E537C43">
      <w:pPr>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3. К категории низкого риска относятся все иные земельные участки, не отнесенные к категориям среднего или умеренного риска.</w:t>
      </w:r>
    </w:p>
    <w:p w14:paraId="059BE220">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Пунктом 11(3) Постановления Правительства Российской Федерации от 10.03.2022г. №336 «Об особенностях организации и осуществления государственного контроля (надзора), муниципального контроля» установлено, что за исключением случаев, предусмотренных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"https://login.consultant.ru/link/?req=doc&amp;base=RZB&amp;n=477091&amp;dst=100080"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пунктом 11(4)</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указанного постановления, до 2030 года в планы проведения плановых контрольных (надзорных) мероприятий, планы проведения плановых проверок при осуществлении видов государственного контроля (надзора), муниципального контроля, порядок организации и осуществления которых регулируется Федеральным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"https://login.consultant.ru/link/?req=doc&amp;base=RZB&amp;n=465728&amp;dst=100664"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законом</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«О государственном контроле (надзоре) и муниципальном контроле в Российской Федерации» и Федеральным </w:t>
      </w:r>
      <w:r>
        <w:rPr>
          <w:rFonts w:hint="default" w:ascii="Times New Roman" w:hAnsi="Times New Roman" w:cs="Times New Roman"/>
          <w:sz w:val="28"/>
          <w:szCs w:val="28"/>
          <w:lang w:val="ru-RU" w:eastAsia="en-US"/>
        </w:rPr>
        <w:fldChar w:fldCharType="begin"/>
      </w:r>
      <w:r>
        <w:rPr>
          <w:rFonts w:hint="default" w:ascii="Times New Roman" w:hAnsi="Times New Roman" w:cs="Times New Roman"/>
          <w:sz w:val="28"/>
          <w:szCs w:val="28"/>
          <w:lang w:val="ru-RU" w:eastAsia="en-US"/>
        </w:rPr>
        <w:instrText xml:space="preserve"> HYPERLINK "https://login.consultant.ru/link/?req=doc&amp;base=RZB&amp;n=454999&amp;dst=100103" </w:instrText>
      </w:r>
      <w:r>
        <w:rPr>
          <w:rFonts w:hint="default" w:ascii="Times New Roman" w:hAnsi="Times New Roman" w:cs="Times New Roman"/>
          <w:sz w:val="28"/>
          <w:szCs w:val="28"/>
          <w:lang w:val="ru-RU" w:eastAsia="en-US"/>
        </w:rPr>
        <w:fldChar w:fldCharType="separate"/>
      </w:r>
      <w:r>
        <w:rPr>
          <w:rFonts w:hint="default" w:ascii="Times New Roman" w:hAnsi="Times New Roman" w:cs="Times New Roman"/>
          <w:sz w:val="28"/>
          <w:szCs w:val="28"/>
          <w:lang w:val="ru-RU" w:eastAsia="en-US"/>
        </w:rPr>
        <w:t>законом</w:t>
      </w:r>
      <w:r>
        <w:rPr>
          <w:rFonts w:hint="default" w:ascii="Times New Roman" w:hAnsi="Times New Roman" w:cs="Times New Roman"/>
          <w:sz w:val="28"/>
          <w:szCs w:val="28"/>
          <w:lang w:val="ru-RU" w:eastAsia="en-US"/>
        </w:rPr>
        <w:fldChar w:fldCharType="end"/>
      </w:r>
      <w:r>
        <w:rPr>
          <w:rFonts w:hint="default" w:ascii="Times New Roman" w:hAnsi="Times New Roman" w:cs="Times New Roman"/>
          <w:sz w:val="28"/>
          <w:szCs w:val="28"/>
          <w:lang w:val="ru-RU" w:eastAsia="en-US"/>
        </w:rPr>
        <w:t> «О защите прав юридических лиц и индивидуальных предпринимателей при осуществлении государственного контроля (надзора) и муниципального контроля», плановые проверки только в отношении объектов контроля, отнесенных к категориям чрезвычайно высокого и высокого риска, опасным производственным объектам II класса опасности, гидротехническим сооружениям II класса.</w:t>
      </w:r>
    </w:p>
    <w:p w14:paraId="50880E5A">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В отношении иных объектов плановые мероприятия в 2024 году не осуществляются.</w:t>
      </w:r>
    </w:p>
    <w:p w14:paraId="1AD683C6">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В целях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 повышения прозрачности системы контрольно-надзорной деятельности, в 2024г. в рамках муниципального земельного контроля осуществляется профилактическая работа.</w:t>
      </w:r>
    </w:p>
    <w:p w14:paraId="2B3CD646">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В рамках исполнения программ профилактики рисков причинения вреда (ущерба) охраняемым законом ценностям, при осуществлении муниципального земельного контроля в указанные периоды осуществлялись нижеследующие мероприятия: информирование, консультирование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официальном сайте в информационно-телекоммуникационной сети «Интернет» и средствах массовой информации.</w:t>
      </w:r>
    </w:p>
    <w:p w14:paraId="2B10A023">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В рамках реализации муниципального земельного контроля основными видами нарушения земельного законодательства являются:</w:t>
      </w:r>
    </w:p>
    <w:p w14:paraId="186EA0CB">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1. Самовольное занятие земельного участка или части земельного участка.</w:t>
      </w:r>
    </w:p>
    <w:p w14:paraId="440D708B">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Самое распространенное нарушение - это самовольное занятие земельного участка или части земельного участка. Под самовольным занятием подразумевается пользование лицом таким участком без наличия на то правовых оснований. Самовольное занятие земельного участка или части земельного участка выражается в следующем:</w:t>
      </w:r>
    </w:p>
    <w:p w14:paraId="6CF759B0">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пользование землями, земельными участками до принятия органом местного самоуправления решения о предоставлении, продаже (передаче) земельного участка в собственность, о переоформлении права на землю и выделе земельного участка, в том числе под зданиями, строениями, сооружениями.</w:t>
      </w:r>
    </w:p>
    <w:p w14:paraId="737551DF">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2. Самовольный перенос ограждения земельного участка, не соответствующий установленной границе.</w:t>
      </w:r>
    </w:p>
    <w:p w14:paraId="6C0C4B94">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Ответственность за данные правонарушения предусмотрено ст. 7.1 КоАП РФ и влечет наложение административного штрафа.</w:t>
      </w:r>
    </w:p>
    <w:p w14:paraId="14F0DE84">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При этом, за административные правонарушения, предусмотренные ст. 7.1 КоАП РФ,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14:paraId="690FE8B0">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3. Использование земельного участка не по целевому назначению и (или) не в соответствии с установленным разрешенным использованием.</w:t>
      </w:r>
    </w:p>
    <w:p w14:paraId="3000D74B">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Ответственность за такой вид правонарушений установлена ч.1 ст.8.8 КоАП РФ и влечет наложение административного штрафа.</w:t>
      </w:r>
    </w:p>
    <w:p w14:paraId="031DE0B4">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В правоустанавливающих документах на землю, а также в ЕГРН указывается правовой режим земельного участка - его целевое назначение и вид разрешенного использования. Фактическое использование земельного участка должно соответствовать правовому режиму земельного участка.</w:t>
      </w:r>
    </w:p>
    <w:p w14:paraId="3AF71179">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4. Неиспользование земельного участка, предназначенного для жилищного или иного строительства, садоводства и огородничества в указанных целях.</w:t>
      </w:r>
    </w:p>
    <w:p w14:paraId="78EB4F58">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Ответственность за такой вид правонарушений установлен ч. 3 ст. 8.8 КоАП РФ и влечет наложение административного штрафа.</w:t>
      </w:r>
    </w:p>
    <w:p w14:paraId="6D57A48D">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      В целях недопущения нарушений правообладателям земельных участков необходимо в сроки, установленные федеральными законами, приступить к использованию земельного участка. Следует отметить, что использование земельного участка должно соответствовать виду разрешенного использования, указанному в ЕГРН и правоустанавливающих документах на землю.</w:t>
      </w:r>
    </w:p>
    <w:p w14:paraId="5AA03635">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В соответствии со ст. 42 Земельного кодекса Российской Федерации от 25.10.2001 № 136-ФЗ собственники земельных участков и лица, не являющиеся собственниками земельных участков, обязаны:</w:t>
      </w:r>
    </w:p>
    <w:p w14:paraId="73EF2FD9">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14:paraId="1A05BAA5">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сохранять межевые, геодезические и другие специальные знаки, установленные на земельных участках в соответствии с законодательством;</w:t>
      </w:r>
    </w:p>
    <w:p w14:paraId="655D4F3B">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осуществлять мероприятия по охране земель, лесов, водных объектов и других природных ресурсов, в том числе меры пожарной безопасности;</w:t>
      </w:r>
    </w:p>
    <w:p w14:paraId="1C9E3F03">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своевременно приступать к использованию земельных участков в случаях, если сроки освоения земельных участков предусмотрены договорами;</w:t>
      </w:r>
    </w:p>
    <w:p w14:paraId="6C80BC33">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своевременно производить платежи за землю;</w:t>
      </w:r>
    </w:p>
    <w:p w14:paraId="4E5BAFFF">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законодательства о градостроительной деятельности;</w:t>
      </w:r>
    </w:p>
    <w:p w14:paraId="661243D1">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не допускать загрязнение, истощение, деградацию, порчу, уничтожение земель и почв и иное негативное воздействие на земли и почвы;</w:t>
      </w:r>
    </w:p>
    <w:p w14:paraId="7862CB40">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14:paraId="698DFBAE">
      <w:pPr>
        <w:ind w:firstLine="708" w:firstLineChars="0"/>
        <w:jc w:val="both"/>
        <w:rPr>
          <w:rFonts w:hint="default" w:ascii="Times New Roman" w:hAnsi="Times New Roman" w:cs="Times New Roman"/>
          <w:sz w:val="28"/>
          <w:szCs w:val="28"/>
          <w:lang w:val="ru-RU" w:eastAsia="en-US"/>
        </w:rPr>
      </w:pPr>
      <w:r>
        <w:rPr>
          <w:rFonts w:hint="default" w:ascii="Times New Roman" w:hAnsi="Times New Roman" w:cs="Times New Roman"/>
          <w:sz w:val="28"/>
          <w:szCs w:val="28"/>
          <w:lang w:val="ru-RU" w:eastAsia="en-US"/>
        </w:rPr>
        <w:t>выполнять иные требования, предусмотренные настоящим Кодексом, федеральными законами.</w:t>
      </w:r>
      <w:bookmarkStart w:id="0" w:name="_GoBack"/>
      <w:bookmarkEnd w:id="0"/>
    </w:p>
    <w:sectPr>
      <w:pgSz w:w="11906" w:h="16838"/>
      <w:pgMar w:top="1440" w:right="7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4611D7"/>
    <w:rsid w:val="7F461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paragraph" w:customStyle="1" w:styleId="6">
    <w:name w:val="ConsPlusNormal"/>
    <w:qFormat/>
    <w:uiPriority w:val="99"/>
    <w:pPr>
      <w:suppressAutoHyphens/>
      <w:autoSpaceDE w:val="0"/>
      <w:ind w:firstLine="720"/>
    </w:pPr>
    <w:rPr>
      <w:rFonts w:ascii="Arial" w:hAnsi="Arial" w:eastAsia="Times New Roman" w:cs="Arial"/>
      <w:lang w:val="ru-RU"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9</TotalTime>
  <ScaleCrop>false</ScaleCrop>
  <LinksUpToDate>false</LinksUpToDate>
  <CharactersWithSpaces>0</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2024-11-05T00:25:00Z</dcterms:created>
  <dc:creator>WPS_1706838892</dc:creator>
  <cp:lastModifiedBy>WPS_1706838892</cp:lastModifiedBy>
  <dcterms:modified xsi:type="dcterms:W3CDTF">2024-11-05T00:43:02Z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9D91CF40ECFB466BBA7E869E5AC70371_11</vt:lpwstr>
  </property>
</Properties>
</file>