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ind w:firstLine="426"/>
        <w:jc w:val="right"/>
        <w:rPr>
          <w:b/>
          <w:b/>
          <w:sz w:val="18"/>
        </w:rPr>
      </w:pPr>
      <w:r>
        <w:drawing>
          <wp:anchor behindDoc="0" distT="0" distB="0" distL="114300" distR="114300" simplePos="0" locked="0" layoutInCell="1" allowOverlap="1" relativeHeight="2">
            <wp:simplePos x="0" y="0"/>
            <wp:positionH relativeFrom="column">
              <wp:posOffset>2755265</wp:posOffset>
            </wp:positionH>
            <wp:positionV relativeFrom="paragraph">
              <wp:posOffset>106680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</w:t>
      </w:r>
      <w:r>
        <w:rPr>
          <w:b/>
          <w:sz w:val="18"/>
        </w:rPr>
        <w:t xml:space="preserve">    </w:t>
      </w:r>
      <w:r>
        <w:rPr>
          <w:sz w:val="18"/>
        </w:rPr>
        <w:br/>
      </w:r>
    </w:p>
    <w:p>
      <w:pPr>
        <w:pStyle w:val="Normal"/>
        <w:shd w:val="clear" w:color="auto" w:fill="FFFFFF"/>
        <w:spacing w:before="227" w:after="0"/>
        <w:ind w:firstLine="426"/>
        <w:jc w:val="center"/>
        <w:rPr>
          <w:b/>
          <w:b/>
          <w:spacing w:val="20"/>
          <w:sz w:val="32"/>
        </w:rPr>
      </w:pPr>
      <w:r>
        <w:rPr>
          <w:b/>
          <w:spacing w:val="20"/>
          <w:sz w:val="32"/>
        </w:rPr>
      </w:r>
    </w:p>
    <w:p>
      <w:pPr>
        <w:pStyle w:val="Normal"/>
        <w:shd w:val="clear" w:color="auto" w:fill="FFFFFF"/>
        <w:spacing w:before="227" w:after="0"/>
        <w:ind w:firstLine="426"/>
        <w:jc w:val="center"/>
        <w:rPr>
          <w:b/>
          <w:b/>
          <w:spacing w:val="20"/>
          <w:sz w:val="32"/>
        </w:rPr>
      </w:pPr>
      <w:r>
        <w:rPr>
          <w:b/>
          <w:spacing w:val="20"/>
          <w:sz w:val="32"/>
        </w:rPr>
      </w:r>
    </w:p>
    <w:p>
      <w:pPr>
        <w:pStyle w:val="Normal"/>
        <w:shd w:val="clear" w:color="auto" w:fill="FFFFFF"/>
        <w:spacing w:before="227" w:after="0"/>
        <w:ind w:firstLine="426"/>
        <w:jc w:val="center"/>
        <w:rPr/>
      </w:pPr>
      <w:r>
        <w:rPr>
          <w:b/>
          <w:spacing w:val="20"/>
          <w:sz w:val="32"/>
        </w:rPr>
        <w:t>АДМИНИСТРАЦИЯ</w:t>
      </w:r>
    </w:p>
    <w:p>
      <w:pPr>
        <w:pStyle w:val="Normal"/>
        <w:keepNext w:val="true"/>
        <w:numPr>
          <w:ilvl w:val="0"/>
          <w:numId w:val="0"/>
        </w:numPr>
        <w:ind w:firstLine="426"/>
        <w:jc w:val="center"/>
        <w:outlineLvl w:val="0"/>
        <w:rPr>
          <w:b/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РАЙОНА</w:t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ind w:firstLine="426"/>
        <w:jc w:val="center"/>
        <w:outlineLvl w:val="1"/>
        <w:rPr>
          <w:rFonts w:eastAsia="Calibri"/>
          <w:b/>
          <w:b/>
          <w:bCs/>
          <w:sz w:val="28"/>
        </w:rPr>
      </w:pPr>
      <w:r>
        <w:rPr>
          <w:rFonts w:eastAsia="Calibri"/>
          <w:b/>
          <w:bCs/>
          <w:sz w:val="28"/>
        </w:rPr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ind w:firstLine="426"/>
        <w:jc w:val="center"/>
        <w:outlineLvl w:val="1"/>
        <w:rPr>
          <w:b/>
          <w:b/>
        </w:rPr>
      </w:pPr>
      <w:r>
        <w:rPr>
          <w:b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 xml:space="preserve">           </w:t>
      </w:r>
      <w:r>
        <w:rPr>
          <w:rFonts w:ascii="Tinos" w:hAnsi="Tinos"/>
          <w:sz w:val="26"/>
          <w:szCs w:val="26"/>
        </w:rPr>
        <w:t>02.05.2020</w:t>
      </w:r>
      <w:r>
        <w:rPr>
          <w:rFonts w:ascii="Tinos" w:hAnsi="Tinos"/>
          <w:sz w:val="26"/>
          <w:szCs w:val="26"/>
        </w:rPr>
        <w:t xml:space="preserve">                                         с.Анучино                                     </w:t>
      </w:r>
      <w:r>
        <w:rPr>
          <w:rFonts w:ascii="Tinos" w:hAnsi="Tinos"/>
          <w:sz w:val="26"/>
          <w:szCs w:val="26"/>
        </w:rPr>
        <w:t>№270</w:t>
      </w:r>
      <w:r>
        <w:rPr>
          <w:rFonts w:ascii="Tinos" w:hAnsi="Tinos"/>
          <w:sz w:val="26"/>
          <w:szCs w:val="26"/>
        </w:rPr>
        <w:t xml:space="preserve">         </w:t>
      </w:r>
      <w:r>
        <w:rPr>
          <w:rFonts w:ascii="Tinos" w:hAnsi="Tinos"/>
          <w:sz w:val="26"/>
          <w:szCs w:val="26"/>
          <w:u w:val="single"/>
        </w:rPr>
        <w:t xml:space="preserve">                 </w:t>
      </w:r>
    </w:p>
    <w:p>
      <w:pPr>
        <w:pStyle w:val="Normal"/>
        <w:ind w:firstLine="426"/>
        <w:rPr>
          <w:rFonts w:ascii="Tinos" w:hAnsi="Tinos"/>
          <w:sz w:val="26"/>
          <w:szCs w:val="26"/>
          <w:u w:val="single"/>
        </w:rPr>
      </w:pPr>
      <w:r>
        <w:rPr>
          <w:rFonts w:ascii="Tinos" w:hAnsi="Tinos"/>
          <w:sz w:val="26"/>
          <w:szCs w:val="26"/>
          <w:u w:val="single"/>
        </w:rPr>
      </w:r>
    </w:p>
    <w:p>
      <w:pPr>
        <w:pStyle w:val="Normal"/>
        <w:ind w:firstLine="426"/>
        <w:jc w:val="center"/>
        <w:rPr/>
      </w:pPr>
      <w:r>
        <w:rPr>
          <w:b/>
          <w:sz w:val="28"/>
          <w:szCs w:val="28"/>
        </w:rPr>
        <w:t>О внесении изменений в муниципальную программу «Дорожная деятельность в отношении автомобильных дорог местного значения на территории Анучинского муниципального круга» на 2020-2024 годы, утвержденную постановлением Анучинского муниципального района</w:t>
      </w:r>
    </w:p>
    <w:p>
      <w:pPr>
        <w:pStyle w:val="Normal"/>
        <w:ind w:firstLine="426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от 30.09.2019 № 542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Title"/>
        <w:spacing w:lineRule="auto" w:line="360"/>
        <w:jc w:val="both"/>
        <w:rPr/>
      </w:pPr>
      <w:r>
        <w:rPr>
          <w:b w:val="false"/>
          <w:sz w:val="28"/>
          <w:szCs w:val="28"/>
        </w:rPr>
        <w:t xml:space="preserve">    </w:t>
      </w:r>
      <w:r>
        <w:rPr>
          <w:b w:val="false"/>
          <w:sz w:val="28"/>
          <w:szCs w:val="28"/>
        </w:rPr>
        <w:t>В соответствии с пп. 4.2. , 4.3.</w:t>
      </w:r>
      <w:r>
        <w:rPr>
          <w:sz w:val="28"/>
          <w:szCs w:val="28"/>
        </w:rPr>
        <w:t xml:space="preserve"> </w:t>
      </w:r>
      <w:r>
        <w:rPr>
          <w:b w:val="false"/>
          <w:sz w:val="28"/>
          <w:szCs w:val="28"/>
        </w:rPr>
        <w:t>«Порядка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b w:val="false"/>
          <w:sz w:val="26"/>
          <w:szCs w:val="26"/>
        </w:rPr>
        <w:t>,</w:t>
      </w:r>
      <w:r>
        <w:rPr>
          <w:b w:val="false"/>
          <w:sz w:val="28"/>
          <w:szCs w:val="28"/>
        </w:rPr>
        <w:t xml:space="preserve"> утвержденного постановлением администрации Анучинского муниципального района от 27.12.2018 № 665,</w:t>
      </w:r>
      <w:r>
        <w:rPr>
          <w:b w:val="false"/>
          <w:sz w:val="26"/>
          <w:szCs w:val="26"/>
        </w:rPr>
        <w:t xml:space="preserve"> </w:t>
      </w:r>
      <w:hyperlink r:id="rId3">
        <w:r>
          <w:rPr>
            <w:rStyle w:val="ListLabel20"/>
            <w:b w:val="false"/>
            <w:sz w:val="28"/>
            <w:szCs w:val="28"/>
          </w:rPr>
          <w:t>Уставом</w:t>
        </w:r>
      </w:hyperlink>
      <w:r>
        <w:rPr>
          <w:b w:val="false"/>
          <w:sz w:val="28"/>
          <w:szCs w:val="28"/>
        </w:rPr>
        <w:t xml:space="preserve"> Анучинского муниципального района, администрация Анучинского муниципального района</w:t>
      </w:r>
      <w:r>
        <w:rPr>
          <w:sz w:val="28"/>
          <w:szCs w:val="28"/>
        </w:rPr>
        <w:t xml:space="preserve"> </w:t>
      </w:r>
    </w:p>
    <w:p>
      <w:pPr>
        <w:pStyle w:val="Normal"/>
        <w:spacing w:lineRule="auto" w:line="360" w:before="240" w:after="240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pStyle w:val="ListParagraph"/>
        <w:spacing w:lineRule="auto" w:line="360"/>
        <w:ind w:left="0"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1.Внести изменения в паспорт муниципальной программы </w:t>
      </w:r>
      <w:r>
        <w:rPr>
          <w:sz w:val="28"/>
          <w:szCs w:val="28"/>
        </w:rPr>
        <w:t>«Дорожная деятельность в отношении автомобильных дорог местного значения на территории Анучинского муниципального округа» на 2020-2024 годы, утвержденной постановлением Анучинского муниципального района от 30.09.2019 № 542:</w:t>
      </w:r>
    </w:p>
    <w:p>
      <w:pPr>
        <w:pStyle w:val="ConsPlusNormal"/>
        <w:tabs>
          <w:tab w:val="clear" w:pos="708"/>
          <w:tab w:val="left" w:pos="0" w:leader="none"/>
        </w:tabs>
        <w:spacing w:lineRule="auto" w:line="360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1.1.Раздел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>
      <w:pPr>
        <w:pStyle w:val="ConsPlusNormal"/>
        <w:spacing w:lineRule="auto" w:line="360"/>
        <w:ind w:firstLine="426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Объем средств бюджетных ассигнований на реализацию программы составляет 122 538,47808 тыс. рублей, в том числе:</w:t>
      </w:r>
    </w:p>
    <w:p>
      <w:pPr>
        <w:pStyle w:val="ConsPlusNormal"/>
        <w:spacing w:lineRule="auto" w:line="360"/>
        <w:ind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2020 год – 38292,47808 тыс. рублей,</w:t>
      </w:r>
    </w:p>
    <w:p>
      <w:pPr>
        <w:pStyle w:val="ConsPlusNormal"/>
        <w:spacing w:lineRule="auto" w:line="360"/>
        <w:ind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в т.ч.краевой бюджет- 12000,0тыс.руб;</w:t>
      </w:r>
    </w:p>
    <w:p>
      <w:pPr>
        <w:pStyle w:val="ConsPlusNormal"/>
        <w:spacing w:lineRule="auto" w:line="36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2021 год - 21062,0 тыс. рублей;</w:t>
      </w:r>
    </w:p>
    <w:p>
      <w:pPr>
        <w:pStyle w:val="ConsPlusNormal"/>
        <w:spacing w:lineRule="auto" w:line="36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2022 год - 21062,0 тыс. рублей;</w:t>
      </w:r>
    </w:p>
    <w:p>
      <w:pPr>
        <w:pStyle w:val="ConsPlusNormal"/>
        <w:spacing w:lineRule="auto" w:line="36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2023 год - 21061,0 тыс. рублей;</w:t>
      </w:r>
    </w:p>
    <w:p>
      <w:pPr>
        <w:pStyle w:val="ConsPlusNormal"/>
        <w:widowControl w:val="false"/>
        <w:numPr>
          <w:ilvl w:val="0"/>
          <w:numId w:val="0"/>
        </w:numPr>
        <w:bidi w:val="0"/>
        <w:spacing w:lineRule="auto" w:line="360"/>
        <w:ind w:left="0" w:right="0" w:hanging="0"/>
        <w:jc w:val="left"/>
        <w:rPr/>
      </w:pPr>
      <w:r>
        <w:rPr>
          <w:rFonts w:cs="Times New Roman" w:ascii="Times New Roman" w:hAnsi="Times New Roman"/>
          <w:sz w:val="28"/>
          <w:szCs w:val="28"/>
        </w:rPr>
        <w:t>2024 год - 21061,0 тыс. рублей.</w:t>
      </w:r>
    </w:p>
    <w:p>
      <w:pPr>
        <w:pStyle w:val="Normal"/>
        <w:spacing w:lineRule="auto" w:line="360"/>
        <w:ind w:firstLine="284"/>
        <w:jc w:val="both"/>
        <w:rPr>
          <w:rFonts w:eastAsia="Calibri" w:eastAsiaTheme="minorHAnsi"/>
          <w:sz w:val="28"/>
          <w:szCs w:val="28"/>
        </w:rPr>
      </w:pPr>
      <w:r>
        <w:rPr>
          <w:rFonts w:eastAsia="Calibri" w:eastAsiaTheme="minorHAnsi"/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12000,0 тыс. рублей, в том числе:</w:t>
      </w:r>
    </w:p>
    <w:p>
      <w:pPr>
        <w:pStyle w:val="ConsPlusNormal"/>
        <w:spacing w:lineRule="auto" w:line="36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2020 год – 12000,0</w:t>
      </w:r>
      <w:r>
        <w:rPr>
          <w:rFonts w:eastAsia="Calibri" w:cs="Times New Roman" w:ascii="Times New Roman" w:hAnsi="Times New Roman" w:eastAsiaTheme="minorHAnsi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тыс. рублей;</w:t>
      </w:r>
    </w:p>
    <w:p>
      <w:pPr>
        <w:pStyle w:val="ConsPlusNormal"/>
        <w:spacing w:lineRule="auto" w:line="36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2021 год – 0,0 тыс. рублей;</w:t>
      </w:r>
    </w:p>
    <w:p>
      <w:pPr>
        <w:pStyle w:val="ConsPlusNormal"/>
        <w:spacing w:lineRule="auto" w:line="36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2022 год – 0,0 тыс. рублей;</w:t>
      </w:r>
    </w:p>
    <w:p>
      <w:pPr>
        <w:pStyle w:val="ConsPlusNormal"/>
        <w:spacing w:lineRule="auto" w:line="36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2023 год – 0,0 тыс. рублей;</w:t>
      </w:r>
    </w:p>
    <w:p>
      <w:pPr>
        <w:pStyle w:val="ConsPlusNormal"/>
        <w:numPr>
          <w:ilvl w:val="0"/>
          <w:numId w:val="1"/>
        </w:numPr>
        <w:spacing w:lineRule="auto" w:line="360"/>
        <w:ind w:left="0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год - 0,0 тыс. рублей</w:t>
      </w:r>
    </w:p>
    <w:p>
      <w:pPr>
        <w:pStyle w:val="ConsPlusNormal"/>
        <w:spacing w:lineRule="auto" w:line="360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1.2.Приложение № 3 «Информация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бюджета, краевого бюджета </w:t>
      </w:r>
      <w:r>
        <w:rPr>
          <w:rFonts w:cs="Times New Roman" w:ascii="Times New Roman" w:hAnsi="Times New Roman"/>
          <w:color w:val="000000"/>
          <w:sz w:val="28"/>
          <w:szCs w:val="28"/>
        </w:rPr>
        <w:t>«</w:t>
      </w:r>
      <w:r>
        <w:rPr>
          <w:rFonts w:cs="Times New Roman" w:ascii="Times New Roman" w:hAnsi="Times New Roman"/>
          <w:sz w:val="28"/>
          <w:szCs w:val="28"/>
        </w:rPr>
        <w:t>Дорожная деятельность в отношении автомобильных дорог местного значения на территории Анучинского муниципального округа» на 2020-2024 годы» читать в новой редакции (прилагается).</w:t>
      </w:r>
    </w:p>
    <w:p>
      <w:pPr>
        <w:pStyle w:val="NormalWeb"/>
        <w:tabs>
          <w:tab w:val="clear" w:pos="708"/>
          <w:tab w:val="left" w:pos="0" w:leader="none"/>
          <w:tab w:val="left" w:pos="709" w:leader="none"/>
        </w:tabs>
        <w:spacing w:lineRule="auto" w:line="360" w:beforeAutospacing="0" w:before="0" w:after="0"/>
        <w:ind w:firstLine="426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2.</w:t>
      </w:r>
      <w:r>
        <w:rPr>
          <w:sz w:val="28"/>
          <w:szCs w:val="28"/>
        </w:rPr>
        <w:t>Общему отделу администрации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>
      <w:pPr>
        <w:pStyle w:val="Normal"/>
        <w:spacing w:lineRule="auto" w:line="36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вступает в силу со дня его опубликования.</w:t>
      </w:r>
    </w:p>
    <w:p>
      <w:pPr>
        <w:pStyle w:val="Normal"/>
        <w:tabs>
          <w:tab w:val="clear" w:pos="708"/>
          <w:tab w:val="left" w:pos="142" w:leader="none"/>
        </w:tabs>
        <w:spacing w:lineRule="auto" w:line="36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4.Контроль за исполнением настоящего постановления оставляю за собой.</w:t>
      </w:r>
    </w:p>
    <w:p>
      <w:pPr>
        <w:pStyle w:val="Normal"/>
        <w:jc w:val="both"/>
        <w:rPr/>
      </w:pPr>
      <w:r>
        <w:rPr>
          <w:sz w:val="28"/>
          <w:szCs w:val="28"/>
        </w:rPr>
        <w:t xml:space="preserve">Глава Анучинского </w:t>
      </w:r>
    </w:p>
    <w:p>
      <w:pPr>
        <w:sectPr>
          <w:headerReference w:type="default" r:id="rId4"/>
          <w:type w:val="nextPage"/>
          <w:pgSz w:w="11906" w:h="16838"/>
          <w:pgMar w:left="1701" w:right="849" w:header="709" w:top="766" w:footer="0" w:bottom="568" w:gutter="0"/>
          <w:pgNumType w:fmt="decimal"/>
          <w:formProt w:val="false"/>
          <w:titlePg/>
          <w:textDirection w:val="lrTb"/>
          <w:docGrid w:type="default" w:linePitch="360" w:charSpace="8192"/>
        </w:sect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         С.А. Понуровский</w:t>
      </w:r>
    </w:p>
    <w:p>
      <w:pPr>
        <w:pStyle w:val="Normal"/>
        <w:jc w:val="right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Приложение № 3</w:t>
      </w:r>
    </w:p>
    <w:p>
      <w:pPr>
        <w:pStyle w:val="Normal"/>
        <w:jc w:val="right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Информация</w:t>
      </w:r>
    </w:p>
    <w:p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ее целей средств федерального бюджета, краевого бюджета </w:t>
      </w:r>
    </w:p>
    <w:p>
      <w:pPr>
        <w:pStyle w:val="ConsPlus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«</w:t>
      </w:r>
      <w:r>
        <w:rPr>
          <w:rFonts w:cs="Times New Roman" w:ascii="Times New Roman" w:hAnsi="Times New Roman"/>
          <w:b/>
          <w:sz w:val="24"/>
          <w:szCs w:val="24"/>
        </w:rPr>
        <w:t xml:space="preserve">Дорожная деятельность в отношении автомобильных дорог местного значения </w:t>
      </w:r>
    </w:p>
    <w:p>
      <w:pPr>
        <w:pStyle w:val="ConsPlus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на территории Анучинского муниципального округа» на 2020-2024 годы</w:t>
      </w:r>
    </w:p>
    <w:p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(наименование муниципальной программы)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15530" w:type="dxa"/>
        <w:jc w:val="left"/>
        <w:tblInd w:w="0" w:type="dxa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681"/>
        <w:gridCol w:w="2027"/>
        <w:gridCol w:w="2117"/>
        <w:gridCol w:w="1699"/>
        <w:gridCol w:w="7"/>
        <w:gridCol w:w="740"/>
        <w:gridCol w:w="9"/>
        <w:gridCol w:w="697"/>
        <w:gridCol w:w="8"/>
        <w:gridCol w:w="1264"/>
        <w:gridCol w:w="6"/>
        <w:gridCol w:w="841"/>
        <w:gridCol w:w="6"/>
        <w:gridCol w:w="4"/>
        <w:gridCol w:w="1297"/>
        <w:gridCol w:w="6"/>
        <w:gridCol w:w="948"/>
        <w:gridCol w:w="9"/>
        <w:gridCol w:w="1121"/>
        <w:gridCol w:w="8"/>
        <w:gridCol w:w="1121"/>
        <w:gridCol w:w="10"/>
        <w:gridCol w:w="903"/>
      </w:tblGrid>
      <w:tr>
        <w:trPr/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N п/п</w:t>
            </w:r>
          </w:p>
        </w:tc>
        <w:tc>
          <w:tcPr>
            <w:tcW w:w="2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Cs w:val="22"/>
              </w:rPr>
              <w:t xml:space="preserve">Ответственный исполнитель, соисполнитель/ГРБС </w:t>
            </w:r>
            <w:hyperlink w:anchor="P885">
              <w:r>
                <w:rPr>
                  <w:rStyle w:val="ListLabel21"/>
                  <w:rFonts w:cs="Times New Roman" w:ascii="Times New Roman" w:hAnsi="Times New Roman"/>
                  <w:color w:val="0000FF"/>
                  <w:szCs w:val="22"/>
                </w:rPr>
                <w:t>&lt;*&gt;</w:t>
              </w:r>
            </w:hyperlink>
            <w:r>
              <w:rPr>
                <w:rFonts w:cs="Times New Roman" w:ascii="Times New Roman" w:hAnsi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Источник ресурсного обеспечения</w:t>
            </w:r>
          </w:p>
        </w:tc>
        <w:tc>
          <w:tcPr>
            <w:tcW w:w="35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Код бюджетной классификации</w:t>
            </w:r>
          </w:p>
        </w:tc>
        <w:tc>
          <w:tcPr>
            <w:tcW w:w="542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Оценка расходов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ГРБС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Рз Пр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ЦСР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ВР</w:t>
            </w:r>
          </w:p>
        </w:tc>
        <w:tc>
          <w:tcPr>
            <w:tcW w:w="1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очередной финансовый год (2020)</w:t>
            </w:r>
          </w:p>
        </w:tc>
        <w:tc>
          <w:tcPr>
            <w:tcW w:w="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первый год планового периода (2021)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второй год планового периода (2022)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третий год планового периода (2023)</w:t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четвертый год планового периода (2024)</w:t>
            </w:r>
          </w:p>
        </w:tc>
      </w:tr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bidi w:val="0"/>
              <w:ind w:left="0" w:right="397" w:firstLine="283"/>
              <w:jc w:val="center"/>
              <w:rPr/>
            </w:pPr>
            <w:r>
              <w:rPr>
                <w:rFonts w:cs="Times New Roman" w:ascii="Times New Roman" w:hAnsi="Times New Roman"/>
                <w:szCs w:val="22"/>
              </w:rPr>
              <w:t>1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2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4</w:t>
            </w:r>
          </w:p>
        </w:tc>
        <w:tc>
          <w:tcPr>
            <w:tcW w:w="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5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6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7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8</w:t>
            </w:r>
          </w:p>
        </w:tc>
        <w:tc>
          <w:tcPr>
            <w:tcW w:w="1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9</w:t>
            </w:r>
          </w:p>
        </w:tc>
        <w:tc>
          <w:tcPr>
            <w:tcW w:w="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10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11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12</w:t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13</w:t>
            </w:r>
          </w:p>
        </w:tc>
      </w:tr>
      <w:tr>
        <w:trPr/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tabs>
                <w:tab w:val="clear" w:pos="708"/>
                <w:tab w:val="left" w:pos="504" w:leader="none"/>
              </w:tabs>
              <w:bidi w:val="0"/>
              <w:ind w:left="0" w:right="510" w:firstLine="510"/>
              <w:jc w:val="left"/>
              <w:rPr/>
            </w:pPr>
            <w:r>
              <w:rPr>
                <w:rFonts w:cs="Times New Roman" w:ascii="Times New Roman" w:hAnsi="Times New Roman"/>
                <w:szCs w:val="22"/>
              </w:rPr>
              <w:t>1</w:t>
            </w:r>
          </w:p>
        </w:tc>
        <w:tc>
          <w:tcPr>
            <w:tcW w:w="2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 xml:space="preserve">Строительство, реконструкция, капитальный ремонт, ремонт, содержание автомобильных дорог общего пользования местного значения и искусственных сооружений </w:t>
            </w:r>
          </w:p>
          <w:p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</w:r>
          </w:p>
        </w:tc>
        <w:tc>
          <w:tcPr>
            <w:tcW w:w="2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bidi w:val="0"/>
              <w:ind w:left="0" w:right="0" w:hanging="0"/>
              <w:jc w:val="left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Cs w:val="22"/>
              </w:rPr>
              <w:t>всего</w:t>
            </w:r>
          </w:p>
        </w:tc>
        <w:tc>
          <w:tcPr>
            <w:tcW w:w="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Cs w:val="22"/>
              </w:rPr>
              <w:t>900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Cs w:val="22"/>
              </w:rPr>
              <w:t>0409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Cs w:val="22"/>
              </w:rPr>
              <w:t>1000120470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Cs w:val="22"/>
              </w:rPr>
              <w:t>244</w:t>
            </w:r>
          </w:p>
        </w:tc>
        <w:tc>
          <w:tcPr>
            <w:tcW w:w="1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27 124,97808</w:t>
            </w:r>
          </w:p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19562,0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16562,0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19561,0</w:t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16561,0</w:t>
            </w:r>
          </w:p>
        </w:tc>
      </w:tr>
      <w:tr>
        <w:trPr>
          <w:trHeight w:val="11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bidi w:val="0"/>
              <w:ind w:left="0" w:right="0" w:hanging="0"/>
              <w:jc w:val="left"/>
              <w:rPr/>
            </w:pPr>
            <w:r>
              <w:rPr>
                <w:rFonts w:cs="Times New Roman" w:ascii="Times New Roman" w:hAnsi="Times New Roman"/>
                <w:szCs w:val="22"/>
              </w:rPr>
              <w:t xml:space="preserve">краевой </w:t>
            </w:r>
          </w:p>
        </w:tc>
        <w:tc>
          <w:tcPr>
            <w:tcW w:w="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900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0409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1000192390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szCs w:val="22"/>
              </w:rPr>
              <w:t>244</w:t>
            </w:r>
          </w:p>
        </w:tc>
        <w:tc>
          <w:tcPr>
            <w:tcW w:w="1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12000,0</w:t>
            </w:r>
          </w:p>
        </w:tc>
        <w:tc>
          <w:tcPr>
            <w:tcW w:w="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0,0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0,0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0,0</w:t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0,0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bidi w:val="0"/>
              <w:ind w:left="0" w:right="0" w:firstLine="57"/>
              <w:jc w:val="left"/>
              <w:rPr/>
            </w:pPr>
            <w:r>
              <w:rPr>
                <w:rFonts w:cs="Times New Roman" w:ascii="Times New Roman" w:hAnsi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900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0409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10001120470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szCs w:val="22"/>
              </w:rPr>
              <w:t>244</w:t>
            </w:r>
          </w:p>
        </w:tc>
        <w:tc>
          <w:tcPr>
            <w:tcW w:w="1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15124,97808</w:t>
            </w:r>
          </w:p>
        </w:tc>
        <w:tc>
          <w:tcPr>
            <w:tcW w:w="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19562,0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16562,0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19561,0</w:t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16561,0</w:t>
            </w:r>
          </w:p>
        </w:tc>
      </w:tr>
      <w:tr>
        <w:trPr/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bidi w:val="0"/>
              <w:ind w:left="0" w:right="397" w:firstLine="283"/>
              <w:jc w:val="left"/>
              <w:rPr/>
            </w:pPr>
            <w:r>
              <w:rPr>
                <w:rFonts w:cs="Times New Roman" w:ascii="Times New Roman" w:hAnsi="Times New Roman"/>
                <w:szCs w:val="22"/>
              </w:rPr>
              <w:t>2</w:t>
            </w:r>
          </w:p>
        </w:tc>
        <w:tc>
          <w:tcPr>
            <w:tcW w:w="2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firstLine="80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Повышение безопасности дорожного движения</w:t>
            </w:r>
          </w:p>
          <w:p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</w:r>
          </w:p>
        </w:tc>
        <w:tc>
          <w:tcPr>
            <w:tcW w:w="2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Отдел жизнеобеспечения администрации Анучинского муниципального округа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bidi w:val="0"/>
              <w:ind w:left="0" w:right="0" w:hanging="0"/>
              <w:jc w:val="left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Cs w:val="22"/>
              </w:rPr>
              <w:t>всего</w:t>
            </w:r>
          </w:p>
        </w:tc>
        <w:tc>
          <w:tcPr>
            <w:tcW w:w="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Cs w:val="22"/>
              </w:rPr>
              <w:t>900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Cs w:val="22"/>
              </w:rPr>
              <w:t>0409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Cs w:val="22"/>
              </w:rPr>
              <w:t>1000120480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  <w:szCs w:val="22"/>
              </w:rPr>
              <w:t>244</w:t>
            </w:r>
          </w:p>
        </w:tc>
        <w:tc>
          <w:tcPr>
            <w:tcW w:w="1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1000,0</w:t>
            </w:r>
          </w:p>
        </w:tc>
        <w:tc>
          <w:tcPr>
            <w:tcW w:w="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1000,0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1000,0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1000,0</w:t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1000,0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bidi w:val="0"/>
              <w:ind w:left="0" w:right="0" w:hanging="0"/>
              <w:jc w:val="left"/>
              <w:rPr/>
            </w:pPr>
            <w:r>
              <w:rPr>
                <w:rFonts w:cs="Times New Roman" w:ascii="Times New Roman" w:hAnsi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2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900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0409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1000120480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szCs w:val="22"/>
              </w:rPr>
              <w:t>244</w:t>
            </w:r>
          </w:p>
        </w:tc>
        <w:tc>
          <w:tcPr>
            <w:tcW w:w="1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1000,0</w:t>
            </w:r>
          </w:p>
        </w:tc>
        <w:tc>
          <w:tcPr>
            <w:tcW w:w="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1000,0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1000,0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1000,0</w:t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1000,0</w:t>
            </w:r>
          </w:p>
        </w:tc>
      </w:tr>
      <w:tr>
        <w:trPr/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bidi w:val="0"/>
              <w:ind w:left="0" w:right="397" w:firstLine="283"/>
              <w:jc w:val="left"/>
              <w:rPr/>
            </w:pPr>
            <w:r>
              <w:rPr>
                <w:rFonts w:cs="Times New Roman" w:ascii="Times New Roman" w:hAnsi="Times New Roman"/>
                <w:szCs w:val="22"/>
              </w:rPr>
              <w:t>3</w:t>
            </w:r>
          </w:p>
        </w:tc>
        <w:tc>
          <w:tcPr>
            <w:tcW w:w="2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Разработка, проверка проектно-сметной документации, проведение инженерных изысканий</w:t>
            </w:r>
          </w:p>
        </w:tc>
        <w:tc>
          <w:tcPr>
            <w:tcW w:w="2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Отдел жизнеобеспечения администрации Анучинского муниципального округа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bidi w:val="0"/>
              <w:ind w:left="0" w:right="0" w:hanging="0"/>
              <w:jc w:val="left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Cs w:val="22"/>
              </w:rPr>
              <w:t>всего</w:t>
            </w:r>
          </w:p>
        </w:tc>
        <w:tc>
          <w:tcPr>
            <w:tcW w:w="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Cs w:val="22"/>
              </w:rPr>
              <w:t>900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Cs w:val="22"/>
              </w:rPr>
              <w:t>0409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Cs w:val="22"/>
              </w:rPr>
              <w:t>1000120490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  <w:szCs w:val="22"/>
              </w:rPr>
              <w:t>244</w:t>
            </w:r>
          </w:p>
        </w:tc>
        <w:tc>
          <w:tcPr>
            <w:tcW w:w="1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500,0</w:t>
            </w:r>
          </w:p>
        </w:tc>
        <w:tc>
          <w:tcPr>
            <w:tcW w:w="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500,0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500,0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500,0</w:t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500,0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bidi w:val="0"/>
              <w:ind w:left="0" w:right="0" w:hanging="0"/>
              <w:jc w:val="left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900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0409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1000120490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szCs w:val="22"/>
              </w:rPr>
              <w:t>244</w:t>
            </w:r>
          </w:p>
        </w:tc>
        <w:tc>
          <w:tcPr>
            <w:tcW w:w="1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500,0</w:t>
            </w:r>
          </w:p>
        </w:tc>
        <w:tc>
          <w:tcPr>
            <w:tcW w:w="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500,0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500,0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500,0</w:t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500,0</w:t>
            </w:r>
          </w:p>
        </w:tc>
      </w:tr>
      <w:tr>
        <w:trPr/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bidi w:val="0"/>
              <w:ind w:left="0" w:right="397" w:firstLine="283"/>
              <w:jc w:val="left"/>
              <w:rPr/>
            </w:pPr>
            <w:r>
              <w:rPr>
                <w:rFonts w:cs="Times New Roman" w:ascii="Times New Roman" w:hAnsi="Times New Roman"/>
                <w:szCs w:val="22"/>
              </w:rPr>
              <w:t>4</w:t>
            </w:r>
          </w:p>
        </w:tc>
        <w:tc>
          <w:tcPr>
            <w:tcW w:w="2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/>
            </w:pPr>
            <w:r>
              <w:rPr>
                <w:rFonts w:cs="Times New Roman" w:ascii="Times New Roman" w:hAnsi="Times New Roman"/>
                <w:szCs w:val="22"/>
              </w:rPr>
              <w:t>Приобретение дорожно-эксплуатационной техники</w:t>
            </w:r>
          </w:p>
        </w:tc>
        <w:tc>
          <w:tcPr>
            <w:tcW w:w="2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/>
            </w:pPr>
            <w:r>
              <w:rPr>
                <w:rFonts w:cs="Times New Roman" w:ascii="Times New Roman" w:hAnsi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bidi w:val="0"/>
              <w:ind w:left="0" w:right="0" w:hanging="0"/>
              <w:jc w:val="left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Cs w:val="22"/>
              </w:rPr>
              <w:t>всего</w:t>
            </w:r>
          </w:p>
        </w:tc>
        <w:tc>
          <w:tcPr>
            <w:tcW w:w="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Cs w:val="22"/>
              </w:rPr>
              <w:t>900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Cs w:val="22"/>
              </w:rPr>
              <w:t>0409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Cs w:val="22"/>
              </w:rPr>
              <w:t>1000120500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  <w:szCs w:val="22"/>
              </w:rPr>
              <w:t>244</w:t>
            </w:r>
          </w:p>
        </w:tc>
        <w:tc>
          <w:tcPr>
            <w:tcW w:w="1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</w:rPr>
              <w:t>8667,500</w:t>
            </w:r>
          </w:p>
        </w:tc>
        <w:tc>
          <w:tcPr>
            <w:tcW w:w="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3000,0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3000,0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bidi w:val="0"/>
              <w:ind w:left="0" w:right="0" w:hanging="0"/>
              <w:jc w:val="left"/>
              <w:rPr/>
            </w:pPr>
            <w:r>
              <w:rPr>
                <w:rFonts w:cs="Times New Roman" w:ascii="Times New Roman" w:hAnsi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  <w:szCs w:val="22"/>
              </w:rPr>
              <w:t>900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  <w:szCs w:val="22"/>
              </w:rPr>
              <w:t>0409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  <w:szCs w:val="22"/>
              </w:rPr>
              <w:t>1000120500</w:t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szCs w:val="22"/>
              </w:rPr>
              <w:t>244</w:t>
            </w:r>
          </w:p>
        </w:tc>
        <w:tc>
          <w:tcPr>
            <w:tcW w:w="1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8667,500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0,0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3000,0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0,0</w:t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3000,0</w:t>
            </w:r>
          </w:p>
        </w:tc>
      </w:tr>
      <w:tr>
        <w:trPr/>
        <w:tc>
          <w:tcPr>
            <w:tcW w:w="6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 xml:space="preserve">  </w:t>
            </w:r>
            <w:r>
              <w:rPr/>
              <w:t>5</w:t>
            </w:r>
          </w:p>
        </w:tc>
        <w:tc>
          <w:tcPr>
            <w:tcW w:w="20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Демонтаж моста через реку Арсеньевка с Шекляево</w:t>
            </w:r>
          </w:p>
        </w:tc>
        <w:tc>
          <w:tcPr>
            <w:tcW w:w="21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/>
            </w:pPr>
            <w:r>
              <w:rPr>
                <w:rFonts w:cs="Times New Roman" w:ascii="Times New Roman" w:hAnsi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bidi w:val="0"/>
              <w:ind w:left="0" w:right="0" w:hanging="0"/>
              <w:jc w:val="left"/>
              <w:rPr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Cs w:val="22"/>
              </w:rPr>
              <w:t>всего</w:t>
            </w:r>
          </w:p>
        </w:tc>
        <w:tc>
          <w:tcPr>
            <w:tcW w:w="74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nos" w:hAnsi="Tinos"/>
                <w:b/>
                <w:b/>
                <w:bCs/>
              </w:rPr>
            </w:pPr>
            <w:r>
              <w:rPr>
                <w:rFonts w:ascii="Tinos" w:hAnsi="Tinos"/>
                <w:b/>
                <w:bCs/>
              </w:rPr>
              <w:t>900</w:t>
            </w:r>
          </w:p>
        </w:tc>
        <w:tc>
          <w:tcPr>
            <w:tcW w:w="7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nos" w:hAnsi="Tinos"/>
                <w:b/>
                <w:b/>
                <w:bCs/>
              </w:rPr>
            </w:pPr>
            <w:r>
              <w:rPr>
                <w:rFonts w:ascii="Tinos" w:hAnsi="Tinos"/>
                <w:b/>
                <w:bCs/>
              </w:rPr>
              <w:t>0409</w:t>
            </w:r>
          </w:p>
        </w:tc>
        <w:tc>
          <w:tcPr>
            <w:tcW w:w="12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nos" w:hAnsi="Tinos"/>
                <w:b/>
                <w:b/>
                <w:bCs/>
              </w:rPr>
            </w:pPr>
            <w:r>
              <w:rPr>
                <w:rFonts w:ascii="Tinos" w:hAnsi="Tinos"/>
                <w:b/>
                <w:bCs/>
              </w:rPr>
              <w:t>1000121500</w:t>
            </w:r>
          </w:p>
        </w:tc>
        <w:tc>
          <w:tcPr>
            <w:tcW w:w="84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nos" w:hAnsi="Tinos"/>
                <w:b/>
                <w:b/>
                <w:bCs/>
              </w:rPr>
            </w:pPr>
            <w:r>
              <w:rPr>
                <w:rFonts w:ascii="Tinos" w:hAnsi="Tinos"/>
                <w:b/>
                <w:bCs/>
              </w:rPr>
              <w:t>244</w:t>
            </w:r>
          </w:p>
        </w:tc>
        <w:tc>
          <w:tcPr>
            <w:tcW w:w="130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nos" w:hAnsi="Tinos"/>
                <w:b/>
                <w:b/>
                <w:bCs/>
              </w:rPr>
            </w:pPr>
            <w:r>
              <w:rPr>
                <w:rFonts w:ascii="Tinos" w:hAnsi="Tinos"/>
                <w:b/>
                <w:bCs/>
              </w:rPr>
              <w:t>1000,00</w:t>
            </w:r>
          </w:p>
        </w:tc>
        <w:tc>
          <w:tcPr>
            <w:tcW w:w="9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0,00</w:t>
            </w:r>
          </w:p>
        </w:tc>
        <w:tc>
          <w:tcPr>
            <w:tcW w:w="11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0,00</w:t>
            </w:r>
          </w:p>
        </w:tc>
        <w:tc>
          <w:tcPr>
            <w:tcW w:w="11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0,00</w:t>
            </w:r>
          </w:p>
        </w:tc>
        <w:tc>
          <w:tcPr>
            <w:tcW w:w="91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0,00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widowControl w:val="false"/>
              <w:bidi w:val="0"/>
              <w:ind w:left="0" w:right="0" w:hanging="0"/>
              <w:jc w:val="left"/>
              <w:rPr/>
            </w:pPr>
            <w:r>
              <w:rPr>
                <w:rFonts w:cs="Times New Roman" w:ascii="Times New Roman" w:hAnsi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4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900</w:t>
            </w:r>
          </w:p>
        </w:tc>
        <w:tc>
          <w:tcPr>
            <w:tcW w:w="7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0409</w:t>
            </w:r>
          </w:p>
        </w:tc>
        <w:tc>
          <w:tcPr>
            <w:tcW w:w="12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1000121500</w:t>
            </w:r>
          </w:p>
        </w:tc>
        <w:tc>
          <w:tcPr>
            <w:tcW w:w="84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</w:r>
          </w:p>
        </w:tc>
        <w:tc>
          <w:tcPr>
            <w:tcW w:w="130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</w:rPr>
              <w:t>1000,00</w:t>
            </w:r>
          </w:p>
        </w:tc>
        <w:tc>
          <w:tcPr>
            <w:tcW w:w="9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0,00</w:t>
            </w:r>
          </w:p>
        </w:tc>
        <w:tc>
          <w:tcPr>
            <w:tcW w:w="11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0,00</w:t>
            </w:r>
          </w:p>
        </w:tc>
        <w:tc>
          <w:tcPr>
            <w:tcW w:w="11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0,00</w:t>
            </w:r>
          </w:p>
        </w:tc>
        <w:tc>
          <w:tcPr>
            <w:tcW w:w="91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0,00</w:t>
            </w:r>
          </w:p>
        </w:tc>
      </w:tr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rPr/>
            </w:pPr>
            <w:r>
              <w:rPr>
                <w:rFonts w:cs="Times New Roman" w:ascii="Times New Roman" w:hAnsi="Times New Roman"/>
                <w:b/>
                <w:szCs w:val="22"/>
              </w:rPr>
              <w:t>Итого:</w:t>
            </w:r>
          </w:p>
        </w:tc>
        <w:tc>
          <w:tcPr>
            <w:tcW w:w="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b/>
                <w:b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</w: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rPr>
                <w:rFonts w:ascii="Times New Roman" w:hAnsi="Times New Roman" w:cs="Times New Roman"/>
                <w:b/>
                <w:b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</w:r>
          </w:p>
        </w:tc>
        <w:tc>
          <w:tcPr>
            <w:tcW w:w="1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rPr>
                <w:rFonts w:ascii="Times New Roman" w:hAnsi="Times New Roman" w:cs="Times New Roman"/>
                <w:b/>
                <w:b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</w:r>
          </w:p>
        </w:tc>
        <w:tc>
          <w:tcPr>
            <w:tcW w:w="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rPr>
                <w:rFonts w:ascii="Times New Roman" w:hAnsi="Times New Roman" w:cs="Times New Roman"/>
                <w:b/>
                <w:b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</w:r>
          </w:p>
        </w:tc>
        <w:tc>
          <w:tcPr>
            <w:tcW w:w="1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</w:rPr>
              <w:t>38292,47808</w:t>
            </w:r>
          </w:p>
        </w:tc>
        <w:tc>
          <w:tcPr>
            <w:tcW w:w="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</w:rPr>
              <w:t>21062,0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</w:rPr>
              <w:t>21062,0</w:t>
            </w:r>
          </w:p>
        </w:tc>
        <w:tc>
          <w:tcPr>
            <w:tcW w:w="1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</w:rPr>
              <w:t>21061,0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</w:rPr>
              <w:t>21061,0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before="220" w:after="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0" w:name="P885"/>
      <w:bookmarkEnd w:id="0"/>
      <w:r>
        <w:rPr>
          <w:rFonts w:cs="Times New Roman" w:ascii="Times New Roman" w:hAnsi="Times New Roman"/>
          <w:sz w:val="18"/>
          <w:szCs w:val="18"/>
        </w:rPr>
        <w:t>&lt;*&gt; - главный распорядитель бюджетных средств.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</w:p>
    <w:tbl>
      <w:tblPr>
        <w:tblW w:w="665" w:type="dxa"/>
        <w:jc w:val="left"/>
        <w:tblInd w:w="92" w:type="dxa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65"/>
      </w:tblGrid>
      <w:tr>
        <w:trPr>
          <w:trHeight w:val="405" w:hRule="exact"/>
        </w:trPr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</w:tbl>
    <w:p>
      <w:pPr>
        <w:pStyle w:val="Normal"/>
        <w:jc w:val="both"/>
        <w:rPr/>
      </w:pPr>
      <w:r>
        <w:rPr/>
      </w:r>
    </w:p>
    <w:sectPr>
      <w:headerReference w:type="default" r:id="rId5"/>
      <w:type w:val="nextPage"/>
      <w:pgSz w:orient="landscape" w:w="16838" w:h="11906"/>
      <w:pgMar w:left="851" w:right="1134" w:header="709" w:top="993" w:footer="0" w:bottom="851" w:gutter="0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inos">
    <w:charset w:val="01"/>
    <w:family w:val="auto"/>
    <w:pitch w:val="variable"/>
  </w:font>
  <w:font w:name="Tinos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8"/>
      <w:jc w:val="center"/>
      <w:rPr/>
    </w:pPr>
    <w:r>
      <w:rPr/>
    </w:r>
  </w:p>
  <w:p>
    <w:pPr>
      <w:pStyle w:val="Style28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8"/>
      <w:jc w:val="center"/>
      <w:rPr/>
    </w:pPr>
    <w:r>
      <w:rPr/>
    </w:r>
  </w:p>
  <w:p>
    <w:pPr>
      <w:pStyle w:val="Style28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2024"/>
      <w:numFmt w:val="decimal"/>
      <w:lvlText w:val="%1"/>
      <w:lvlJc w:val="left"/>
      <w:pPr>
        <w:ind w:left="960" w:hanging="6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6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2b3f0c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link w:val="a3"/>
    <w:qFormat/>
    <w:rsid w:val="00e95367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link w:val="a5"/>
    <w:uiPriority w:val="99"/>
    <w:qFormat/>
    <w:rsid w:val="00c56547"/>
    <w:rPr/>
  </w:style>
  <w:style w:type="character" w:styleId="Style16" w:customStyle="1">
    <w:name w:val="Нижний колонтитул Знак"/>
    <w:basedOn w:val="DefaultParagraphFont"/>
    <w:link w:val="a7"/>
    <w:qFormat/>
    <w:rsid w:val="00c56547"/>
    <w:rPr/>
  </w:style>
  <w:style w:type="character" w:styleId="Style17" w:customStyle="1">
    <w:name w:val="Абзац списка Знак"/>
    <w:link w:val="a9"/>
    <w:uiPriority w:val="34"/>
    <w:qFormat/>
    <w:locked/>
    <w:rsid w:val="00a8450c"/>
    <w:rPr>
      <w:sz w:val="24"/>
    </w:rPr>
  </w:style>
  <w:style w:type="character" w:styleId="2" w:customStyle="1">
    <w:name w:val="Основной текст с отступом 2 Знак"/>
    <w:basedOn w:val="DefaultParagraphFont"/>
    <w:link w:val="2"/>
    <w:qFormat/>
    <w:rsid w:val="00ae0a62"/>
    <w:rPr>
      <w:sz w:val="24"/>
    </w:rPr>
  </w:style>
  <w:style w:type="character" w:styleId="3" w:customStyle="1">
    <w:name w:val="Основной текст с отступом 3 Знак"/>
    <w:basedOn w:val="DefaultParagraphFont"/>
    <w:link w:val="3"/>
    <w:qFormat/>
    <w:rsid w:val="00ae0a62"/>
    <w:rPr>
      <w:sz w:val="24"/>
    </w:rPr>
  </w:style>
  <w:style w:type="character" w:styleId="Style18" w:customStyle="1">
    <w:name w:val="Основной текст Знак"/>
    <w:basedOn w:val="DefaultParagraphFont"/>
    <w:link w:val="ac"/>
    <w:qFormat/>
    <w:rsid w:val="00da5dd3"/>
    <w:rPr/>
  </w:style>
  <w:style w:type="character" w:styleId="Style19" w:customStyle="1">
    <w:name w:val="Основной текст с отступом Знак"/>
    <w:basedOn w:val="DefaultParagraphFont"/>
    <w:link w:val="af"/>
    <w:qFormat/>
    <w:rsid w:val="004e708d"/>
    <w:rPr/>
  </w:style>
  <w:style w:type="character" w:styleId="Style20">
    <w:name w:val="Интернет-ссылка"/>
    <w:rsid w:val="00651c12"/>
    <w:rPr>
      <w:color w:val="0000FF"/>
      <w:u w:val="single"/>
    </w:rPr>
  </w:style>
  <w:style w:type="character" w:styleId="Style21" w:customStyle="1">
    <w:name w:val="Обычный (веб) Знак"/>
    <w:link w:val="af3"/>
    <w:qFormat/>
    <w:rsid w:val="00eb221c"/>
    <w:rPr>
      <w:sz w:val="24"/>
      <w:szCs w:val="24"/>
    </w:rPr>
  </w:style>
  <w:style w:type="character" w:styleId="Style22" w:customStyle="1">
    <w:name w:val="Гипертекстовая ссылка"/>
    <w:basedOn w:val="DefaultParagraphFont"/>
    <w:uiPriority w:val="99"/>
    <w:qFormat/>
    <w:rsid w:val="001f6ea5"/>
    <w:rPr>
      <w:color w:val="106BBE"/>
    </w:rPr>
  </w:style>
  <w:style w:type="character" w:styleId="ListLabel1">
    <w:name w:val="ListLabel 1"/>
    <w:qFormat/>
    <w:rPr>
      <w:rFonts w:cs="Times New Roman"/>
      <w:sz w:val="26"/>
      <w:szCs w:val="26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  <w:sz w:val="26"/>
      <w:szCs w:val="26"/>
    </w:rPr>
  </w:style>
  <w:style w:type="character" w:styleId="ListLabel11">
    <w:name w:val="ListLabel 11"/>
    <w:qFormat/>
    <w:rPr>
      <w:rFonts w:cs="Times New Roman"/>
    </w:rPr>
  </w:style>
  <w:style w:type="character" w:styleId="ListLabel12">
    <w:name w:val="ListLabel 12"/>
    <w:qFormat/>
    <w:rPr>
      <w:rFonts w:cs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color w:val="000000"/>
    </w:rPr>
  </w:style>
  <w:style w:type="character" w:styleId="ListLabel20">
    <w:name w:val="ListLabel 20"/>
    <w:qFormat/>
    <w:rPr>
      <w:b w:val="false"/>
      <w:sz w:val="28"/>
      <w:szCs w:val="28"/>
    </w:rPr>
  </w:style>
  <w:style w:type="character" w:styleId="ListLabel21">
    <w:name w:val="ListLabel 21"/>
    <w:qFormat/>
    <w:rPr>
      <w:rFonts w:ascii="Times New Roman" w:hAnsi="Times New Roman" w:cs="Times New Roman"/>
      <w:color w:val="0000FF"/>
      <w:szCs w:val="22"/>
    </w:rPr>
  </w:style>
  <w:style w:type="character" w:styleId="ListLabel22">
    <w:name w:val="ListLabel 22"/>
    <w:qFormat/>
    <w:rPr>
      <w:b w:val="false"/>
      <w:sz w:val="28"/>
      <w:szCs w:val="28"/>
    </w:rPr>
  </w:style>
  <w:style w:type="character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styleId="ListLabel24">
    <w:name w:val="ListLabel 24"/>
    <w:qFormat/>
    <w:rPr>
      <w:b w:val="false"/>
      <w:sz w:val="28"/>
      <w:szCs w:val="28"/>
    </w:rPr>
  </w:style>
  <w:style w:type="character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styleId="ListLabel26">
    <w:name w:val="ListLabel 26"/>
    <w:qFormat/>
    <w:rPr>
      <w:b w:val="false"/>
      <w:sz w:val="28"/>
      <w:szCs w:val="28"/>
    </w:rPr>
  </w:style>
  <w:style w:type="character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styleId="ListLabel28">
    <w:name w:val="ListLabel 28"/>
    <w:qFormat/>
    <w:rPr>
      <w:b w:val="false"/>
      <w:sz w:val="28"/>
      <w:szCs w:val="28"/>
    </w:rPr>
  </w:style>
  <w:style w:type="character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paragraph" w:styleId="Style23">
    <w:name w:val="Заголовок"/>
    <w:basedOn w:val="Normal"/>
    <w:next w:val="Style24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24">
    <w:name w:val="Body Text"/>
    <w:basedOn w:val="Normal"/>
    <w:link w:val="ad"/>
    <w:rsid w:val="00da5dd3"/>
    <w:pPr>
      <w:spacing w:before="0" w:after="120"/>
    </w:pPr>
    <w:rPr/>
  </w:style>
  <w:style w:type="paragraph" w:styleId="Style25">
    <w:name w:val="List"/>
    <w:basedOn w:val="Style24"/>
    <w:pPr/>
    <w:rPr>
      <w:rFonts w:cs="Droid Sans Devanagari"/>
    </w:rPr>
  </w:style>
  <w:style w:type="paragraph" w:styleId="Style26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cs="Droid Sans Devanagari"/>
    </w:rPr>
  </w:style>
  <w:style w:type="paragraph" w:styleId="BalloonText">
    <w:name w:val="Balloon Text"/>
    <w:basedOn w:val="Normal"/>
    <w:link w:val="a4"/>
    <w:qFormat/>
    <w:rsid w:val="00e95367"/>
    <w:pPr/>
    <w:rPr>
      <w:rFonts w:ascii="Tahoma" w:hAnsi="Tahoma" w:cs="Tahoma"/>
      <w:sz w:val="16"/>
      <w:szCs w:val="16"/>
    </w:rPr>
  </w:style>
  <w:style w:type="paragraph" w:styleId="ConsPlusTitle" w:customStyle="1">
    <w:name w:val="ConsPlusTitle"/>
    <w:qFormat/>
    <w:rsid w:val="00fd47ec"/>
    <w:pPr>
      <w:widowControl w:val="false"/>
      <w:bidi w:val="0"/>
      <w:jc w:val="left"/>
    </w:pPr>
    <w:rPr>
      <w:rFonts w:ascii="Times New Roman" w:hAnsi="Times New Roman" w:eastAsia="Courier New" w:cs="Times New Roman"/>
      <w:b/>
      <w:bCs/>
      <w:color w:val="auto"/>
      <w:kern w:val="0"/>
      <w:sz w:val="24"/>
      <w:szCs w:val="24"/>
      <w:lang w:val="ru-RU" w:eastAsia="ru-RU" w:bidi="ar-SA"/>
    </w:rPr>
  </w:style>
  <w:style w:type="paragraph" w:styleId="Style28">
    <w:name w:val="Header"/>
    <w:basedOn w:val="Normal"/>
    <w:link w:val="a6"/>
    <w:uiPriority w:val="99"/>
    <w:rsid w:val="00c5654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9">
    <w:name w:val="Footer"/>
    <w:basedOn w:val="Normal"/>
    <w:link w:val="a8"/>
    <w:rsid w:val="00c5654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link w:val="aa"/>
    <w:uiPriority w:val="34"/>
    <w:qFormat/>
    <w:rsid w:val="00a8450c"/>
    <w:pPr>
      <w:spacing w:before="0" w:after="0"/>
      <w:ind w:left="720" w:hanging="0"/>
      <w:contextualSpacing/>
    </w:pPr>
    <w:rPr>
      <w:sz w:val="24"/>
    </w:rPr>
  </w:style>
  <w:style w:type="paragraph" w:styleId="BodyTextIndent2">
    <w:name w:val="Body Text Indent 2"/>
    <w:basedOn w:val="Normal"/>
    <w:link w:val="20"/>
    <w:qFormat/>
    <w:rsid w:val="00ae0a62"/>
    <w:pPr>
      <w:ind w:firstLine="720"/>
      <w:jc w:val="both"/>
    </w:pPr>
    <w:rPr>
      <w:sz w:val="24"/>
    </w:rPr>
  </w:style>
  <w:style w:type="paragraph" w:styleId="BodyTextIndent3">
    <w:name w:val="Body Text Indent 3"/>
    <w:basedOn w:val="Normal"/>
    <w:link w:val="30"/>
    <w:qFormat/>
    <w:rsid w:val="00ae0a62"/>
    <w:pPr>
      <w:ind w:right="567" w:firstLine="720"/>
      <w:jc w:val="both"/>
    </w:pPr>
    <w:rPr>
      <w:sz w:val="24"/>
    </w:rPr>
  </w:style>
  <w:style w:type="paragraph" w:styleId="ConsPlusNormal" w:customStyle="1">
    <w:name w:val="ConsPlusNormal"/>
    <w:qFormat/>
    <w:rsid w:val="00013773"/>
    <w:pPr>
      <w:widowControl w:val="false"/>
      <w:bidi w:val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30" w:customStyle="1">
    <w:name w:val="Содержимое таблицы"/>
    <w:basedOn w:val="Normal"/>
    <w:qFormat/>
    <w:rsid w:val="00da5dd3"/>
    <w:pPr>
      <w:widowControl w:val="false"/>
      <w:suppressLineNumbers/>
      <w:suppressAutoHyphens w:val="true"/>
    </w:pPr>
    <w:rPr>
      <w:rFonts w:eastAsia="Andale Sans UI"/>
      <w:kern w:val="2"/>
      <w:sz w:val="24"/>
      <w:szCs w:val="24"/>
    </w:rPr>
  </w:style>
  <w:style w:type="paragraph" w:styleId="Style31">
    <w:name w:val="Body Text Indent"/>
    <w:basedOn w:val="Normal"/>
    <w:link w:val="af0"/>
    <w:rsid w:val="004e708d"/>
    <w:pPr>
      <w:spacing w:before="0" w:after="120"/>
      <w:ind w:left="283" w:hanging="0"/>
    </w:pPr>
    <w:rPr/>
  </w:style>
  <w:style w:type="paragraph" w:styleId="NoSpacing">
    <w:name w:val="No Spacing"/>
    <w:uiPriority w:val="1"/>
    <w:qFormat/>
    <w:rsid w:val="00651c12"/>
    <w:pPr>
      <w:widowControl/>
      <w:suppressAutoHyphens w:val="true"/>
      <w:bidi w:val="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ar-SA" w:bidi="ar-SA"/>
    </w:rPr>
  </w:style>
  <w:style w:type="paragraph" w:styleId="ConsPlusCell" w:customStyle="1">
    <w:name w:val="ConsPlusCell"/>
    <w:qFormat/>
    <w:rsid w:val="00c1118a"/>
    <w:pPr>
      <w:widowControl w:val="fals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NormalWeb">
    <w:name w:val="Normal (Web)"/>
    <w:basedOn w:val="Normal"/>
    <w:link w:val="af4"/>
    <w:qFormat/>
    <w:rsid w:val="00eb221c"/>
    <w:pPr>
      <w:spacing w:beforeAutospacing="1" w:after="119"/>
    </w:pPr>
    <w:rPr>
      <w:sz w:val="24"/>
      <w:szCs w:val="24"/>
    </w:rPr>
  </w:style>
  <w:style w:type="paragraph" w:styleId="Style32">
    <w:name w:val="Заголовок таблицы"/>
    <w:basedOn w:val="Style3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rsid w:val="001815f0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6F09D5F84BD5E862B2908445BBBC7A827F8492311D90433E0F7FBA0B1E259B0BBF1567986DCB79149FE590AA287177DA21E4F1G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5ED8C-2F24-4699-B69B-8C07208A7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TotalTime>103</TotalTime>
  <Application>LibreOffice/6.2.8.2$Linux_X86_64 LibreOffice_project/20$Build-2</Application>
  <Pages>4</Pages>
  <Words>666</Words>
  <Characters>4679</Characters>
  <CharactersWithSpaces>5346</CharactersWithSpaces>
  <Paragraphs>197</Paragraphs>
  <Company>Администрация г.Ханты-Мансийск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2019-12-24T05:58:00Z</dcterms:created>
  <dc:creator>Белякова Галина Николаевна</dc:creator>
  <dc:description/>
  <dc:language>ru-RU</dc:language>
  <cp:lastModifiedBy/>
  <cp:lastPrinted>2020-04-24T14:58:15Z</cp:lastPrinted>
  <dcterms:modified xsi:type="dcterms:W3CDTF">2020-05-06T10:33:44Z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