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7356B">
      <w:pPr>
        <w:jc w:val="center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</w:rPr>
        <w:t>Меры стимулирования добросовестности контролируемых лиц</w:t>
      </w:r>
    </w:p>
    <w:bookmarkEnd w:id="0"/>
    <w:p w14:paraId="555C43A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7DAD2FF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соответствии с Решением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 положении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, утвержденным Думой АМО №714-НПА от 23.06.2025г. </w:t>
      </w:r>
      <w:r>
        <w:rPr>
          <w:rFonts w:hint="default" w:ascii="Times New Roman" w:hAnsi="Times New Roman" w:cs="Times New Roman"/>
          <w:sz w:val="28"/>
          <w:szCs w:val="28"/>
        </w:rPr>
        <w:t>меры стимулирования добросовестности контролируемых лиц не применяются.</w:t>
      </w:r>
    </w:p>
    <w:p w14:paraId="59BCAEDF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475ED0"/>
    <w:rsid w:val="64475ED0"/>
    <w:rsid w:val="684C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2025-07-04T01:25:00Z</dcterms:created>
  <dc:creator>MehovskiyVV</dc:creator>
  <cp:lastModifiedBy>MehovskiyVV</cp:lastModifiedBy>
  <dcterms:modified xsi:type="dcterms:W3CDTF">2025-07-04T01:33:20Z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8837662A143945AFAFD9BFA2075B9238_11</vt:lpwstr>
  </property>
</Properties>
</file>