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header1.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jc w:val="center"/>
        <w:rPr>
          <w:rFonts w:ascii="Times New Roman" w:hAnsi="Times New Roman"/>
          <w:b/>
          <w:sz w:val="28"/>
          <w:szCs w:val="28"/>
        </w:rPr>
      </w:pPr>
      <w:r>
        <w:rPr>
          <w:rFonts w:ascii="Times New Roman" w:hAnsi="Times New Roman"/>
          <w:b/>
          <w:sz w:val="28"/>
          <w:szCs w:val="28"/>
        </w:rPr>
        <w:t>МЕТОДИЧЕСКИЕ РЕКОМЕНДАЦИИ</w:t>
      </w:r>
    </w:p>
    <w:p>
      <w:pPr>
        <w:pStyle w:val="Normal"/>
        <w:ind w:hanging="0"/>
        <w:jc w:val="center"/>
        <w:rPr>
          <w:rFonts w:ascii="Times New Roman" w:hAnsi="Times New Roman"/>
          <w:b/>
          <w:sz w:val="28"/>
          <w:szCs w:val="28"/>
        </w:rPr>
      </w:pPr>
      <w:r>
        <w:rPr>
          <w:rFonts w:ascii="Times New Roman" w:hAnsi="Times New Roman"/>
          <w:b/>
          <w:sz w:val="28"/>
          <w:szCs w:val="28"/>
        </w:rPr>
        <w:t>ПО ВОПРОСАМ ПРЕДСТАВЛЕНИЯ СВЕДЕНИЙ</w:t>
      </w:r>
    </w:p>
    <w:p>
      <w:pPr>
        <w:pStyle w:val="Normal"/>
        <w:ind w:hanging="0"/>
        <w:jc w:val="center"/>
        <w:rPr>
          <w:rFonts w:ascii="Times New Roman" w:hAnsi="Times New Roman"/>
          <w:b/>
          <w:sz w:val="28"/>
          <w:szCs w:val="28"/>
        </w:rPr>
      </w:pPr>
      <w:r>
        <w:rPr>
          <w:rFonts w:ascii="Times New Roman" w:hAnsi="Times New Roman"/>
          <w:b/>
          <w:sz w:val="28"/>
          <w:szCs w:val="28"/>
        </w:rPr>
        <w:t xml:space="preserve">О ДОХОДАХ, РАСХОДАХ, ОБ ИМУЩЕСТВЕ И ОБЯЗАТЕЛЬСТВАХ ИМУЩЕСТВЕННОГО ХАРАКТЕРА </w:t>
      </w:r>
    </w:p>
    <w:p>
      <w:pPr>
        <w:pStyle w:val="Normal"/>
        <w:ind w:hanging="0"/>
        <w:jc w:val="center"/>
        <w:rPr>
          <w:rFonts w:ascii="Times New Roman" w:hAnsi="Times New Roman"/>
          <w:b/>
          <w:sz w:val="28"/>
          <w:szCs w:val="28"/>
        </w:rPr>
      </w:pPr>
      <w:r>
        <w:rPr>
          <w:rFonts w:ascii="Times New Roman" w:hAnsi="Times New Roman"/>
          <w:b/>
          <w:sz w:val="28"/>
          <w:szCs w:val="28"/>
        </w:rPr>
        <w:t xml:space="preserve">И ЗАПОЛНЕНИЯ СООТВЕТСТВУЮЩЕЙ ФОРМЫ СПРАВКИ </w:t>
      </w:r>
    </w:p>
    <w:p>
      <w:pPr>
        <w:pStyle w:val="Normal"/>
        <w:ind w:hanging="0"/>
        <w:jc w:val="center"/>
        <w:rPr>
          <w:rFonts w:ascii="Times New Roman" w:hAnsi="Times New Roman"/>
          <w:sz w:val="28"/>
          <w:szCs w:val="28"/>
        </w:rPr>
      </w:pPr>
      <w:r>
        <w:rPr>
          <w:rFonts w:ascii="Times New Roman" w:hAnsi="Times New Roman"/>
          <w:sz w:val="28"/>
          <w:szCs w:val="28"/>
        </w:rPr>
        <w:t>в 2025 году (за отчетный 2024 год)</w:t>
      </w:r>
    </w:p>
    <w:p>
      <w:pPr>
        <w:pStyle w:val="Normal"/>
        <w:ind w:hanging="0"/>
        <w:jc w:val="center"/>
        <w:rPr>
          <w:rFonts w:ascii="Times New Roman" w:hAnsi="Times New Roman"/>
          <w:sz w:val="28"/>
          <w:szCs w:val="28"/>
        </w:rPr>
      </w:pPr>
      <w:r>
        <w:rPr>
          <w:rFonts w:ascii="Times New Roman" w:hAnsi="Times New Roman"/>
          <w:sz w:val="28"/>
          <w:szCs w:val="28"/>
        </w:rPr>
      </w:r>
    </w:p>
    <w:p>
      <w:pPr>
        <w:pStyle w:val="Normal"/>
        <w:ind w:firstLine="567"/>
        <w:rPr>
          <w:rFonts w:ascii="Times New Roman" w:hAnsi="Times New Roman"/>
          <w:sz w:val="28"/>
          <w:szCs w:val="28"/>
        </w:rPr>
      </w:pPr>
      <w:r>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pPr>
        <w:pStyle w:val="Normal"/>
        <w:ind w:firstLine="567"/>
        <w:rPr>
          <w:rFonts w:ascii="Times New Roman" w:hAnsi="Times New Roman"/>
          <w:sz w:val="28"/>
          <w:szCs w:val="28"/>
        </w:rPr>
      </w:pPr>
      <w:r>
        <w:rPr>
          <w:rFonts w:ascii="Times New Roman" w:hAnsi="Times New Roman"/>
          <w:sz w:val="28"/>
          <w:szCs w:val="28"/>
        </w:rPr>
        <w:t xml:space="preserve">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2" w:tgtFrame="consultantplus://offline/ref=57E0B1C8ADAC653FBEA55D1E9049ED91A63B5BC1BDB036D12C5B445229pEa3J">
        <w:r>
          <w:rPr>
            <w:rFonts w:ascii="Times New Roman" w:hAnsi="Times New Roman"/>
            <w:sz w:val="28"/>
            <w:szCs w:val="28"/>
          </w:rPr>
          <w:t>методические рекомендации</w:t>
        </w:r>
      </w:hyperlink>
      <w:r>
        <w:rPr>
          <w:rFonts w:ascii="Times New Roman" w:hAnsi="Times New Roman"/>
          <w:sz w:val="28"/>
          <w:szCs w:val="28"/>
        </w:rPr>
        <w:t xml:space="preserve"> и другие инструктивно-методические материалы по данным вопросам.</w:t>
      </w:r>
    </w:p>
    <w:p>
      <w:pPr>
        <w:pStyle w:val="Normal"/>
        <w:ind w:firstLine="567"/>
        <w:rPr>
          <w:rFonts w:ascii="Times New Roman" w:hAnsi="Times New Roman"/>
          <w:sz w:val="28"/>
          <w:szCs w:val="28"/>
        </w:rPr>
      </w:pPr>
      <w:r>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pPr>
        <w:pStyle w:val="Normal"/>
        <w:ind w:firstLine="567"/>
        <w:rPr>
          <w:rFonts w:ascii="Times New Roman" w:hAnsi="Times New Roman"/>
          <w:sz w:val="28"/>
          <w:szCs w:val="28"/>
        </w:rPr>
      </w:pPr>
      <w:r>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pPr>
        <w:pStyle w:val="Normal"/>
        <w:ind w:firstLine="567"/>
        <w:rPr>
          <w:rFonts w:ascii="Times New Roman" w:hAnsi="Times New Roman"/>
          <w:sz w:val="28"/>
          <w:szCs w:val="28"/>
        </w:rPr>
      </w:pPr>
      <w:r>
        <w:rPr>
          <w:rFonts w:ascii="Times New Roman" w:hAnsi="Times New Roman"/>
          <w:sz w:val="28"/>
          <w:szCs w:val="28"/>
        </w:rPr>
        <w:t>В этой связи лица, на которых возложены ограничения и запреты, требования о предотвращении или об урегулировании конфликта интересов, обязанности, установленные Федеральным законом от 25 декабря 2008 г. № 273-ФЗ "О противодействии коррупции", другими федеральными законами в целях противодействия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 органа (орган).</w:t>
      </w:r>
    </w:p>
    <w:p>
      <w:pPr>
        <w:pStyle w:val="Normal"/>
        <w:ind w:firstLine="567"/>
        <w:rPr>
          <w:rFonts w:ascii="Times New Roman" w:hAnsi="Times New Roman"/>
          <w:sz w:val="28"/>
          <w:szCs w:val="28"/>
        </w:rPr>
      </w:pPr>
      <w:r>
        <w:rPr>
          <w:rFonts w:ascii="Times New Roman" w:hAnsi="Times New Roman"/>
          <w:sz w:val="28"/>
          <w:szCs w:val="28"/>
        </w:rPr>
        <w:t>При возникновении у таких подразделений (органов) сложностей в предоставлении консультаций сотрудникам таких подразделений (органов)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а после рабочего взаимодействия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pPr>
        <w:pStyle w:val="Normal"/>
        <w:ind w:firstLine="567"/>
        <w:rPr>
          <w:rFonts w:ascii="Times New Roman" w:hAnsi="Times New Roman"/>
          <w:sz w:val="28"/>
          <w:szCs w:val="28"/>
        </w:rPr>
      </w:pPr>
      <w:r>
        <w:rPr>
          <w:rFonts w:ascii="Times New Roman" w:hAnsi="Times New Roman"/>
          <w:sz w:val="28"/>
          <w:szCs w:val="28"/>
        </w:rPr>
        <w:t>При этом подразделениям по профилактике коррупционных и иных правонарушений</w:t>
      </w:r>
      <w:r>
        <w:rPr>
          <w:rStyle w:val="Annotationreference"/>
          <w:rFonts w:ascii="Times New Roman" w:hAnsi="Times New Roman"/>
          <w:sz w:val="28"/>
          <w:szCs w:val="28"/>
        </w:rPr>
        <w:t xml:space="preserve"> </w:t>
      </w:r>
      <w:r>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аналогичным подразделениям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pPr>
        <w:pStyle w:val="Normal"/>
        <w:ind w:firstLine="567"/>
        <w:rPr>
          <w:rFonts w:ascii="Times New Roman" w:hAnsi="Times New Roman"/>
          <w:sz w:val="28"/>
          <w:szCs w:val="28"/>
        </w:rPr>
      </w:pPr>
      <w:r>
        <w:rPr>
          <w:rFonts w:ascii="Times New Roman" w:hAnsi="Times New Roman"/>
          <w:sz w:val="28"/>
          <w:szCs w:val="28"/>
        </w:rPr>
      </w:r>
    </w:p>
    <w:p>
      <w:pPr>
        <w:pStyle w:val="ListParagraph"/>
        <w:tabs>
          <w:tab w:val="clear" w:pos="709"/>
          <w:tab w:val="left" w:pos="426" w:leader="none"/>
        </w:tabs>
        <w:ind w:left="0" w:hanging="0"/>
        <w:jc w:val="center"/>
        <w:rPr>
          <w:rFonts w:ascii="Times New Roman" w:hAnsi="Times New Roman"/>
          <w:b/>
          <w:sz w:val="28"/>
          <w:szCs w:val="28"/>
        </w:rPr>
      </w:pPr>
      <w:r>
        <w:rPr>
          <w:rFonts w:ascii="Times New Roman" w:hAnsi="Times New Roman"/>
          <w:b/>
          <w:sz w:val="28"/>
          <w:szCs w:val="28"/>
          <w:lang w:val="en-US"/>
        </w:rPr>
        <w:t>I</w:t>
      </w:r>
      <w:r>
        <w:rPr>
          <w:rFonts w:ascii="Times New Roman" w:hAnsi="Times New Roman"/>
          <w:b/>
          <w:sz w:val="28"/>
          <w:szCs w:val="28"/>
        </w:rPr>
        <w:t>. Представление сведений о доходах, расходах,</w:t>
      </w:r>
    </w:p>
    <w:p>
      <w:pPr>
        <w:pStyle w:val="ListParagraph"/>
        <w:ind w:left="0" w:hanging="0"/>
        <w:jc w:val="center"/>
        <w:rPr>
          <w:rFonts w:ascii="Times New Roman" w:hAnsi="Times New Roman"/>
          <w:b/>
          <w:sz w:val="28"/>
          <w:szCs w:val="28"/>
        </w:rPr>
      </w:pPr>
      <w:r>
        <w:rPr>
          <w:rFonts w:ascii="Times New Roman" w:hAnsi="Times New Roman"/>
          <w:b/>
          <w:sz w:val="28"/>
          <w:szCs w:val="28"/>
        </w:rPr>
        <w:t>об имуществе и обязательствах имущественного характера</w:t>
      </w:r>
    </w:p>
    <w:p>
      <w:pPr>
        <w:pStyle w:val="Normal"/>
        <w:jc w:val="center"/>
        <w:rPr>
          <w:rFonts w:ascii="Times New Roman" w:hAnsi="Times New Roman"/>
          <w:sz w:val="28"/>
          <w:szCs w:val="28"/>
        </w:rPr>
      </w:pPr>
      <w:r>
        <w:rPr>
          <w:rFonts w:ascii="Times New Roman" w:hAnsi="Times New Roman"/>
          <w:sz w:val="28"/>
          <w:szCs w:val="28"/>
        </w:rPr>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pPr>
        <w:pStyle w:val="Normal"/>
        <w:tabs>
          <w:tab w:val="clear" w:pos="709"/>
          <w:tab w:val="left" w:pos="567" w:leader="none"/>
        </w:tabs>
        <w:ind w:firstLine="567"/>
        <w:rPr>
          <w:rFonts w:ascii="Times New Roman" w:hAnsi="Times New Roman"/>
          <w:b/>
          <w:sz w:val="28"/>
          <w:szCs w:val="28"/>
        </w:rPr>
      </w:pPr>
      <w:r>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pPr>
        <w:pStyle w:val="ListParagraph"/>
        <w:numPr>
          <w:ilvl w:val="0"/>
          <w:numId w:val="1"/>
        </w:numPr>
        <w:tabs>
          <w:tab w:val="clear" w:pos="709"/>
          <w:tab w:val="left" w:pos="567" w:leader="none"/>
          <w:tab w:val="left" w:pos="993" w:leader="none"/>
        </w:tabs>
        <w:ind w:left="0" w:firstLine="567"/>
        <w:rPr>
          <w:rFonts w:ascii="Times New Roman" w:hAnsi="Times New Roman"/>
          <w:sz w:val="28"/>
          <w:szCs w:val="28"/>
        </w:rPr>
      </w:pPr>
      <w:r>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pPr>
        <w:pStyle w:val="ListParagraph"/>
        <w:numPr>
          <w:ilvl w:val="0"/>
          <w:numId w:val="2"/>
        </w:numPr>
        <w:tabs>
          <w:tab w:val="clear" w:pos="709"/>
          <w:tab w:val="left" w:pos="567" w:leader="none"/>
        </w:tabs>
        <w:spacing w:before="0" w:after="0"/>
        <w:ind w:left="0" w:firstLine="568"/>
        <w:contextualSpacing w:val="false"/>
        <w:rPr>
          <w:rFonts w:ascii="Times New Roman" w:hAnsi="Times New Roman"/>
          <w:sz w:val="28"/>
          <w:szCs w:val="28"/>
        </w:rPr>
      </w:pPr>
      <w:r>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 в подпункте 2 настоящего пункта);</w:t>
      </w:r>
    </w:p>
    <w:p>
      <w:pPr>
        <w:pStyle w:val="ListParagraph"/>
        <w:numPr>
          <w:ilvl w:val="0"/>
          <w:numId w:val="2"/>
        </w:numPr>
        <w:tabs>
          <w:tab w:val="clear" w:pos="709"/>
          <w:tab w:val="left" w:pos="567" w:leader="none"/>
        </w:tabs>
        <w:spacing w:before="0" w:after="0"/>
        <w:ind w:left="0" w:firstLine="568"/>
        <w:contextualSpacing w:val="false"/>
        <w:rPr>
          <w:rFonts w:ascii="Times New Roman" w:hAnsi="Times New Roman"/>
          <w:sz w:val="28"/>
          <w:szCs w:val="28"/>
        </w:rPr>
      </w:pPr>
      <w:r>
        <w:rPr>
          <w:rFonts w:ascii="Times New Roman" w:hAnsi="Times New Roman"/>
          <w:sz w:val="28"/>
          <w:szCs w:val="28"/>
        </w:rPr>
        <w:t xml:space="preserve">лицами, замещающими муниципальные должности депутатов представительных органов муниципальных образований или должности депутатов законодательных органов субъектов Российской Федерации и осуществляющими свои полномочия без отрыва от основной деятельности (на непостоянной основе),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w:t>
      </w:r>
    </w:p>
    <w:p>
      <w:pPr>
        <w:pStyle w:val="ListParagraph"/>
        <w:tabs>
          <w:tab w:val="clear" w:pos="709"/>
          <w:tab w:val="left" w:pos="567" w:leader="none"/>
        </w:tabs>
        <w:spacing w:before="0" w:after="0"/>
        <w:ind w:left="0" w:firstLine="568"/>
        <w:contextualSpacing w:val="false"/>
        <w:rPr>
          <w:rFonts w:ascii="Times New Roman" w:hAnsi="Times New Roman"/>
          <w:sz w:val="28"/>
          <w:szCs w:val="28"/>
        </w:rPr>
      </w:pPr>
      <w:r>
        <w:rPr>
          <w:rFonts w:ascii="Times New Roman" w:hAnsi="Times New Roman"/>
          <w:sz w:val="28"/>
          <w:szCs w:val="28"/>
        </w:rPr>
        <w:t>В случае, если в течение отчетного периода такие сделки не совершались:</w:t>
      </w:r>
    </w:p>
    <w:p>
      <w:pPr>
        <w:pStyle w:val="ListParagraph"/>
        <w:tabs>
          <w:tab w:val="clear" w:pos="709"/>
          <w:tab w:val="left" w:pos="567" w:leader="none"/>
        </w:tabs>
        <w:spacing w:before="0" w:after="0"/>
        <w:ind w:left="0" w:firstLine="568"/>
        <w:contextualSpacing w:val="false"/>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представительных органов муниципальных образований и осуществляющих свои полномочия на непостоянной основе, сообщают об этом высшему должностному лицу субъекта Российской Федерации в порядке, установленном законом субъекта Российской Федерации;</w:t>
      </w:r>
    </w:p>
    <w:p>
      <w:pPr>
        <w:pStyle w:val="ListParagraph"/>
        <w:tabs>
          <w:tab w:val="clear" w:pos="709"/>
          <w:tab w:val="left" w:pos="567" w:leader="none"/>
        </w:tabs>
        <w:spacing w:before="0" w:after="0"/>
        <w:ind w:left="0" w:firstLine="568"/>
        <w:contextualSpacing w:val="false"/>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 –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pPr>
        <w:pStyle w:val="ListParagraph"/>
        <w:tabs>
          <w:tab w:val="clear" w:pos="709"/>
          <w:tab w:val="left" w:pos="567" w:leader="none"/>
        </w:tabs>
        <w:spacing w:before="0" w:after="0"/>
        <w:ind w:left="0" w:firstLine="568"/>
        <w:contextualSpacing w:val="false"/>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w:t>
      </w:r>
      <w:hyperlink r:id="rId3">
        <w:r>
          <w:rPr>
            <w:rStyle w:val="-"/>
            <w:rFonts w:ascii="Times New Roman" w:hAnsi="Times New Roman"/>
            <w:sz w:val="28"/>
            <w:szCs w:val="28"/>
          </w:rPr>
          <w:t>https://mintrud.gov.ru/ministry/programms/anticorruption/9/instruktivno-metodicheskie-materialy-po-fz</w:t>
        </w:r>
      </w:hyperlink>
      <w:r>
        <w:rPr>
          <w:rFonts w:ascii="Times New Roman" w:hAnsi="Times New Roman"/>
          <w:sz w:val="28"/>
          <w:szCs w:val="28"/>
        </w:rPr>
        <w:t>).</w:t>
      </w:r>
    </w:p>
    <w:p>
      <w:pPr>
        <w:pStyle w:val="ListParagraph"/>
        <w:numPr>
          <w:ilvl w:val="0"/>
          <w:numId w:val="2"/>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 xml:space="preserve">государственными и муниципальными служащими, замещающими должности, включенные в </w:t>
      </w:r>
      <w:hyperlink r:id="rId4" w:tgtFrame="consultantplus://offline/ref=C9E7374AA1332C6CF9FF0059DC9BC42D7E0C4094E90E8D4E87A0DE0B00JBsBL">
        <w:r>
          <w:rPr>
            <w:rFonts w:ascii="Times New Roman" w:hAnsi="Times New Roman"/>
            <w:sz w:val="28"/>
            <w:szCs w:val="28"/>
          </w:rPr>
          <w:t>перечни</w:t>
        </w:r>
      </w:hyperlink>
      <w:r>
        <w:rPr>
          <w:rFonts w:ascii="Times New Roman" w:hAnsi="Times New Roman"/>
          <w:sz w:val="28"/>
          <w:szCs w:val="28"/>
        </w:rPr>
        <w:t>, утвержденные нормативными правовыми актами Российской Федерации;</w:t>
      </w:r>
    </w:p>
    <w:p>
      <w:pPr>
        <w:pStyle w:val="ListParagraph"/>
        <w:numPr>
          <w:ilvl w:val="0"/>
          <w:numId w:val="2"/>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работниками государственных внебюджетных фондов, государственных корпораций (компаний), иных организаций, создаваемых Российской Федерацией на основании федеральных законов, публично-правовых компаний,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pPr>
        <w:pStyle w:val="ConsPlusNormal"/>
        <w:numPr>
          <w:ilvl w:val="0"/>
          <w:numId w:val="2"/>
        </w:numPr>
        <w:tabs>
          <w:tab w:val="clear" w:pos="709"/>
          <w:tab w:val="left" w:pos="567" w:leader="none"/>
        </w:tabs>
        <w:ind w:left="0" w:firstLine="567"/>
        <w:jc w:val="both"/>
        <w:rPr/>
      </w:pPr>
      <w:r>
        <w:rPr/>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5" w:tgtFrame="consultantplus://offline/ref=176F7DE9F43BBC5D4BD135AAE1CAD04D0FAF9650A130B33DA87DA13E97FAF95DCF18F97FDC1FE2FAH7g2M">
        <w:r>
          <w:rPr/>
          <w:t>перечень</w:t>
        </w:r>
      </w:hyperlink>
      <w:r>
        <w:rPr/>
        <w:t>, утвержденный Советом директоров Центрального банка Российской Федерации;</w:t>
      </w:r>
    </w:p>
    <w:p>
      <w:pPr>
        <w:pStyle w:val="ListParagraph"/>
        <w:numPr>
          <w:ilvl w:val="0"/>
          <w:numId w:val="2"/>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6" w:tgtFrame="consultantplus://offline/ref=7F2EEDDD06F168B694690D2DE649735BC9E53CBFC16FEC31087E4E96CAJ2nFL">
        <w:r>
          <w:rPr>
            <w:rFonts w:ascii="Times New Roman" w:hAnsi="Times New Roman"/>
            <w:sz w:val="28"/>
            <w:szCs w:val="28"/>
          </w:rPr>
          <w:t>перечни</w:t>
        </w:r>
      </w:hyperlink>
      <w:r>
        <w:rPr>
          <w:rFonts w:ascii="Times New Roman" w:hAnsi="Times New Roman"/>
          <w:sz w:val="28"/>
          <w:szCs w:val="28"/>
        </w:rPr>
        <w:t>, утвержденные федеральными государственными органами;</w:t>
      </w:r>
    </w:p>
    <w:p>
      <w:pPr>
        <w:pStyle w:val="ListParagraph"/>
        <w:numPr>
          <w:ilvl w:val="0"/>
          <w:numId w:val="2"/>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pPr>
        <w:pStyle w:val="ListParagraph"/>
        <w:numPr>
          <w:ilvl w:val="0"/>
          <w:numId w:val="2"/>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pPr>
        <w:pStyle w:val="ListParagraph"/>
        <w:numPr>
          <w:ilvl w:val="0"/>
          <w:numId w:val="2"/>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иными лицами в соответствии с законодательством Российской Федерации.</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pPr>
        <w:pStyle w:val="ListParagraph"/>
        <w:numPr>
          <w:ilvl w:val="0"/>
          <w:numId w:val="3"/>
        </w:numPr>
        <w:tabs>
          <w:tab w:val="clear" w:pos="709"/>
          <w:tab w:val="left" w:pos="0" w:leader="none"/>
          <w:tab w:val="left" w:pos="567" w:leader="none"/>
        </w:tabs>
        <w:ind w:left="0" w:firstLine="567"/>
        <w:rPr>
          <w:rFonts w:ascii="Times New Roman" w:hAnsi="Times New Roman"/>
          <w:sz w:val="28"/>
          <w:szCs w:val="28"/>
        </w:rPr>
      </w:pPr>
      <w:r>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любой должности государственной службы Российской Федерации (поступающим на службу);</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должности в государственных внебюджетных фондах, государственных корпорациях (компаниях), иных организациях, создаваемых Российской Федерацией на основании федеральных законов, публично-правовых компаниях, назначение на которую и освобождение от которой осуществляется Президентом Российской Федерации или Правительством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7" w:tgtFrame="consultantplus://offline/ref=3743F552A0D416E80BEAF690826125BB530BB097B6A5A5C17137C1E72FF3E91DCF3284BA9D2A6279g3rBM">
        <w:r>
          <w:rPr>
            <w:rFonts w:ascii="Times New Roman" w:hAnsi="Times New Roman"/>
            <w:sz w:val="28"/>
            <w:szCs w:val="28"/>
          </w:rPr>
          <w:t>перечень</w:t>
        </w:r>
      </w:hyperlink>
      <w:r>
        <w:rPr>
          <w:rFonts w:ascii="Times New Roman" w:hAnsi="Times New Roman"/>
          <w:sz w:val="28"/>
          <w:szCs w:val="28"/>
        </w:rPr>
        <w:t>, утвержденный Советом директоров Центрального банка Российской Федерации;</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8" w:tgtFrame="consultantplus://offline/ref=7F2EEDDD06F168B694690D2DE649735BC9E53CBFC16FEC31087E4E96CAJ2nFL">
        <w:r>
          <w:rPr>
            <w:rFonts w:ascii="Times New Roman" w:hAnsi="Times New Roman"/>
            <w:sz w:val="28"/>
            <w:szCs w:val="28"/>
          </w:rPr>
          <w:t>перечни</w:t>
        </w:r>
      </w:hyperlink>
      <w:r>
        <w:rPr>
          <w:rFonts w:ascii="Times New Roman" w:hAnsi="Times New Roman"/>
          <w:sz w:val="28"/>
          <w:szCs w:val="28"/>
        </w:rPr>
        <w:t>, утвержденные федеральными государственными органами;</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pPr>
        <w:pStyle w:val="ListParagraph"/>
        <w:numPr>
          <w:ilvl w:val="0"/>
          <w:numId w:val="3"/>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иных должностей в соответствии с законодательством Российской Федерации.</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Государственный гражданский служащий</w:t>
      </w:r>
      <w:r>
        <w:rPr>
          <w:rFonts w:ascii="Times New Roman" w:hAnsi="Times New Roman"/>
          <w:sz w:val="28"/>
        </w:rPr>
        <w:t xml:space="preserve"> Российской Федерации</w:t>
      </w:r>
      <w:r>
        <w:rPr>
          <w:rFonts w:ascii="Times New Roman" w:hAnsi="Times New Roman"/>
          <w:sz w:val="28"/>
          <w:szCs w:val="28"/>
        </w:rPr>
        <w:t xml:space="preserve"> и гражданин, претендующие на включение в федеральный кадровый резерв на государственной гражданской службе</w:t>
      </w:r>
      <w:r>
        <w:rPr>
          <w:rFonts w:ascii="Times New Roman" w:hAnsi="Times New Roman"/>
          <w:sz w:val="28"/>
        </w:rPr>
        <w:t xml:space="preserve"> Российской Федерации (далее – федеральный кадровый резерв)</w:t>
      </w:r>
      <w:r>
        <w:rPr>
          <w:rFonts w:ascii="Times New Roman" w:hAnsi="Times New Roman"/>
          <w:sz w:val="28"/>
          <w:szCs w:val="28"/>
        </w:rPr>
        <w:t xml:space="preserve">, представляют Сведения при рассмотрении вопроса о включении в названный резерв согласно Указу Президента Российской Федерации от 22 января 2024 г. № 61 "О федеральном кадровом резерве на государственной гражданской службе Российской Федерации" (далее – Указ Президента Российской Федерации </w:t>
        <w:br/>
        <w:t>№ 61).</w:t>
      </w:r>
    </w:p>
    <w:p>
      <w:pPr>
        <w:pStyle w:val="ListParagraph"/>
        <w:tabs>
          <w:tab w:val="clear" w:pos="709"/>
          <w:tab w:val="left" w:pos="1134" w:leader="none"/>
        </w:tabs>
        <w:ind w:left="0" w:firstLine="567"/>
        <w:rPr>
          <w:rFonts w:ascii="Times New Roman" w:hAnsi="Times New Roman"/>
          <w:color w:val="000000"/>
          <w:sz w:val="28"/>
          <w:szCs w:val="28"/>
        </w:rPr>
      </w:pPr>
      <w:r>
        <w:rPr>
          <w:rFonts w:ascii="Times New Roman" w:hAnsi="Times New Roman"/>
          <w:color w:val="000000"/>
          <w:sz w:val="28"/>
          <w:szCs w:val="28"/>
        </w:rPr>
        <w:t>При заполнении с использованием специального программного обеспечения "Справки БК" (далее – СПО "Справки БК") титульного листа справки в строке "В связи с чем подается справка" рекомендуется выбрать "иное" и указать, что лицо претендует на включение в федеральный кадровый резерв.</w:t>
      </w:r>
    </w:p>
    <w:p>
      <w:pPr>
        <w:pStyle w:val="Normal"/>
        <w:tabs>
          <w:tab w:val="clear" w:pos="709"/>
          <w:tab w:val="left" w:pos="1843" w:leader="none"/>
        </w:tabs>
        <w:ind w:firstLine="567"/>
        <w:rPr>
          <w:rFonts w:ascii="Times New Roman" w:hAnsi="Times New Roman"/>
          <w:sz w:val="28"/>
          <w:szCs w:val="28"/>
        </w:rPr>
      </w:pPr>
      <w:r>
        <w:rPr>
          <w:rFonts w:ascii="Times New Roman" w:hAnsi="Times New Roman"/>
          <w:color w:val="000000"/>
          <w:sz w:val="28"/>
          <w:szCs w:val="28"/>
        </w:rPr>
        <w:t xml:space="preserve">При выборе отчетного периода необходимо исходить из того, что </w:t>
      </w:r>
      <w:r>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Pr>
          <w:rFonts w:ascii="Times New Roman" w:hAnsi="Times New Roman"/>
          <w:color w:val="000000"/>
          <w:sz w:val="28"/>
          <w:szCs w:val="28"/>
        </w:rPr>
        <w:t xml:space="preserve">пункт 4 Положения </w:t>
      </w:r>
      <w:r>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 (далее – Положение, утвержденное Указом Президента Российский Федерации № 61).</w:t>
      </w:r>
    </w:p>
    <w:p>
      <w:pPr>
        <w:pStyle w:val="Normal"/>
        <w:tabs>
          <w:tab w:val="clear" w:pos="709"/>
          <w:tab w:val="left" w:pos="1843" w:leader="none"/>
        </w:tabs>
        <w:ind w:firstLine="567"/>
        <w:rPr>
          <w:rFonts w:ascii="Times New Roman" w:hAnsi="Times New Roman"/>
          <w:sz w:val="28"/>
          <w:szCs w:val="28"/>
        </w:rPr>
      </w:pPr>
      <w:r>
        <w:rPr>
          <w:rFonts w:ascii="Times New Roman" w:hAnsi="Times New Roman"/>
          <w:sz w:val="28"/>
          <w:szCs w:val="28"/>
        </w:rPr>
        <w:t xml:space="preserve">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справки в соответствии с указанным выше положениями не требуется, в том числе в случае, если семейное положение лица, претендующего на включение в федеральный кадровый резерв, изменилось (например, заключен брак) с момента представления справки по иным основаниям. </w:t>
      </w:r>
    </w:p>
    <w:p>
      <w:pPr>
        <w:pStyle w:val="Normal"/>
        <w:tabs>
          <w:tab w:val="clear" w:pos="709"/>
          <w:tab w:val="left" w:pos="1134" w:leader="none"/>
        </w:tabs>
        <w:ind w:firstLine="567"/>
        <w:rPr>
          <w:rFonts w:ascii="Times New Roman" w:hAnsi="Times New Roman"/>
          <w:b/>
          <w:sz w:val="28"/>
          <w:szCs w:val="28"/>
        </w:rPr>
      </w:pPr>
      <w:r>
        <w:rPr>
          <w:rFonts w:ascii="Times New Roman" w:hAnsi="Times New Roman"/>
          <w:b/>
          <w:sz w:val="28"/>
          <w:szCs w:val="28"/>
        </w:rPr>
      </w:r>
    </w:p>
    <w:p>
      <w:pPr>
        <w:pStyle w:val="Normal"/>
        <w:tabs>
          <w:tab w:val="clear" w:pos="709"/>
          <w:tab w:val="left" w:pos="1134" w:leader="none"/>
        </w:tabs>
        <w:ind w:firstLine="567"/>
        <w:rPr>
          <w:rFonts w:ascii="Times New Roman" w:hAnsi="Times New Roman"/>
          <w:b/>
          <w:sz w:val="28"/>
          <w:szCs w:val="28"/>
        </w:rPr>
      </w:pPr>
      <w:r>
        <w:rPr>
          <w:rFonts w:ascii="Times New Roman" w:hAnsi="Times New Roman"/>
          <w:b/>
          <w:sz w:val="28"/>
          <w:szCs w:val="28"/>
        </w:rPr>
      </w:r>
    </w:p>
    <w:p>
      <w:pPr>
        <w:pStyle w:val="Normal"/>
        <w:tabs>
          <w:tab w:val="clear" w:pos="709"/>
          <w:tab w:val="left" w:pos="1134" w:leader="none"/>
        </w:tabs>
        <w:ind w:firstLine="567"/>
        <w:rPr>
          <w:rFonts w:ascii="Times New Roman" w:hAnsi="Times New Roman"/>
          <w:sz w:val="28"/>
          <w:szCs w:val="28"/>
        </w:rPr>
      </w:pPr>
      <w:r>
        <w:rPr>
          <w:rFonts w:ascii="Times New Roman" w:hAnsi="Times New Roman"/>
          <w:b/>
          <w:sz w:val="28"/>
          <w:szCs w:val="28"/>
        </w:rPr>
        <w:t xml:space="preserve">Обязательность представления Сведений </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Лица, претендующие на замещение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 2025 года.</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Сведения о доходах, об имуществе и обязательствах имущественного характера представляются федеральным государственным служащим, замещающим должность государственной службы, не предусмотренную </w:t>
      </w:r>
      <w:hyperlink r:id="rId9" w:tgtFrame="consultantplus://offline/ref=33E7B6DD529722622844D6F9EBC8DBA03B3FAEDA9118A1613233FFF35FCD6ECFCAED66496D73EC2Di9vDO">
        <w:r>
          <w:rPr>
            <w:rFonts w:ascii="Times New Roman" w:hAnsi="Times New Roman"/>
            <w:sz w:val="28"/>
            <w:szCs w:val="28"/>
          </w:rPr>
          <w:t>перечнем</w:t>
        </w:r>
      </w:hyperlink>
      <w:r>
        <w:rPr>
          <w:rFonts w:ascii="Times New Roman" w:hAnsi="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 </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замещающие должности федеральной государственной службы, не предусмотренные соответствующим перечнем должностей, и претендующие на замещение должностей федеральной государственной службы, предусмотренных таким перечнем, не представляют Сведения в случае если:</w:t>
      </w:r>
    </w:p>
    <w:p>
      <w:pPr>
        <w:pStyle w:val="ListParagraph"/>
        <w:numPr>
          <w:ilvl w:val="1"/>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pPr>
        <w:pStyle w:val="ListParagraph"/>
        <w:numPr>
          <w:ilvl w:val="1"/>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w:t>
      </w:r>
      <w:r>
        <w:rPr/>
        <w:t xml:space="preserve"> </w:t>
      </w:r>
      <w:r>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p>
    <w:p>
      <w:pPr>
        <w:pStyle w:val="Normal"/>
        <w:tabs>
          <w:tab w:val="clear" w:pos="709"/>
          <w:tab w:val="left" w:pos="1134" w:leader="none"/>
        </w:tabs>
        <w:ind w:firstLine="567"/>
        <w:rPr>
          <w:rFonts w:ascii="Times New Roman" w:hAnsi="Times New Roman"/>
          <w:sz w:val="28"/>
          <w:szCs w:val="28"/>
        </w:rPr>
      </w:pPr>
      <w:r>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 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pPr>
        <w:pStyle w:val="ListParagraph"/>
        <w:tabs>
          <w:tab w:val="clear" w:pos="709"/>
          <w:tab w:val="left" w:pos="567" w:leader="none"/>
        </w:tabs>
        <w:spacing w:before="0" w:after="0"/>
        <w:ind w:left="0" w:firstLine="568"/>
        <w:contextualSpacing w:val="false"/>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0">
        <w:r>
          <w:rPr>
            <w:rStyle w:val="-"/>
            <w:rFonts w:ascii="Times New Roman" w:hAnsi="Times New Roman"/>
            <w:sz w:val="28"/>
            <w:szCs w:val="28"/>
          </w:rPr>
          <w:t>https://mintrud.gov.ru/ministry/programms/anticorruption/9/23</w:t>
        </w:r>
      </w:hyperlink>
      <w:r>
        <w:rPr>
          <w:rFonts w:ascii="Times New Roman" w:hAnsi="Times New Roman"/>
          <w:sz w:val="28"/>
          <w:szCs w:val="28"/>
        </w:rPr>
        <w:t>).</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освобождают от обязанности представить Сведения.</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pPr>
        <w:pStyle w:val="ListParagraph"/>
        <w:tabs>
          <w:tab w:val="clear" w:pos="709"/>
          <w:tab w:val="left" w:pos="851" w:leader="none"/>
          <w:tab w:val="left" w:pos="1134" w:leader="none"/>
        </w:tabs>
        <w:ind w:left="0" w:firstLine="567"/>
        <w:rPr>
          <w:rFonts w:ascii="Times New Roman" w:hAnsi="Times New Roman"/>
          <w:sz w:val="28"/>
          <w:szCs w:val="28"/>
        </w:rPr>
      </w:pPr>
      <w:r>
        <w:rPr>
          <w:rFonts w:ascii="Times New Roman" w:hAnsi="Times New Roman"/>
          <w:sz w:val="28"/>
          <w:szCs w:val="28"/>
        </w:rPr>
        <w:t>Вышеуказанные лица не представляют Сведения в рамках декларационной кампании 2025 года в случае, если они принимали участие в специальной военной операции или непосредственно выполняли задачи, связанные с ее проведением, на указанных территориях, в том числе, например, в ноябре 2022 года.</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Данные положения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 </w:t>
      </w:r>
    </w:p>
    <w:p>
      <w:pPr>
        <w:pStyle w:val="ListParagraph"/>
        <w:tabs>
          <w:tab w:val="left" w:pos="709" w:leader="none"/>
          <w:tab w:val="left" w:pos="1134" w:leader="none"/>
        </w:tabs>
        <w:ind w:left="0" w:firstLine="567"/>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1">
        <w:r>
          <w:rPr>
            <w:rStyle w:val="-"/>
            <w:rFonts w:ascii="Times New Roman" w:hAnsi="Times New Roman"/>
            <w:sz w:val="28"/>
            <w:szCs w:val="28"/>
          </w:rPr>
          <w:t>https://mintrud.gov.ru/ministry/programms/anticorruption/9/23</w:t>
        </w:r>
      </w:hyperlink>
      <w:r>
        <w:rPr>
          <w:rFonts w:ascii="Times New Roman" w:hAnsi="Times New Roman"/>
          <w:sz w:val="28"/>
          <w:szCs w:val="28"/>
        </w:rPr>
        <w:t xml:space="preserve">). </w:t>
      </w:r>
    </w:p>
    <w:p>
      <w:pPr>
        <w:pStyle w:val="ListParagraph"/>
        <w:numPr>
          <w:ilvl w:val="0"/>
          <w:numId w:val="1"/>
        </w:numPr>
        <w:tabs>
          <w:tab w:val="left" w:pos="709" w:leader="none"/>
          <w:tab w:val="left" w:pos="1134" w:leader="none"/>
        </w:tabs>
        <w:ind w:left="0" w:firstLine="567"/>
        <w:rPr>
          <w:rFonts w:ascii="Times New Roman" w:hAnsi="Times New Roman"/>
          <w:sz w:val="28"/>
          <w:szCs w:val="28"/>
        </w:rPr>
      </w:pPr>
      <w:r>
        <w:rPr>
          <w:rFonts w:ascii="Times New Roman" w:hAnsi="Times New Roman"/>
          <w:sz w:val="28"/>
          <w:szCs w:val="28"/>
        </w:rPr>
        <w:t>Лица, 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 xml:space="preserve">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r>
        <w:rPr>
          <w:rFonts w:ascii="Times New Roman" w:hAnsi="Times New Roman"/>
          <w:sz w:val="28"/>
        </w:rPr>
        <w:t>пункте 13 настоящих Методических рекомендаций</w:t>
      </w:r>
      <w:r>
        <w:rPr>
          <w:rFonts w:ascii="Times New Roman" w:hAnsi="Times New Roman"/>
          <w:sz w:val="28"/>
          <w:szCs w:val="28"/>
        </w:rPr>
        <w:t>.</w:t>
      </w:r>
    </w:p>
    <w:p>
      <w:pPr>
        <w:pStyle w:val="Normal"/>
        <w:tabs>
          <w:tab w:val="clear" w:pos="709"/>
          <w:tab w:val="left" w:pos="567" w:leader="none"/>
        </w:tabs>
        <w:ind w:firstLine="567"/>
        <w:rPr>
          <w:rFonts w:ascii="Times New Roman" w:hAnsi="Times New Roman"/>
          <w:b/>
          <w:sz w:val="28"/>
          <w:szCs w:val="28"/>
        </w:rPr>
      </w:pPr>
      <w:r>
        <w:rPr>
          <w:rFonts w:ascii="Times New Roman" w:hAnsi="Times New Roman"/>
          <w:b/>
          <w:sz w:val="28"/>
          <w:szCs w:val="28"/>
        </w:rPr>
        <w:t>Сроки представления Сведений</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pPr>
        <w:pStyle w:val="ListParagraph"/>
        <w:tabs>
          <w:tab w:val="clear" w:pos="709"/>
          <w:tab w:val="left" w:pos="0" w:leader="none"/>
          <w:tab w:val="left" w:pos="1134" w:leader="none"/>
        </w:tabs>
        <w:ind w:left="0" w:firstLine="567"/>
        <w:rPr>
          <w:rFonts w:ascii="Times New Roman" w:hAnsi="Times New Roman"/>
          <w:sz w:val="28"/>
          <w:szCs w:val="28"/>
        </w:rPr>
      </w:pPr>
      <w:r>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Гражданин, претендующий на замещение должности атамана Всероссийского казачьего общества, представляет Сведения при подаче документов для подготовки представления о назначении на указанную должность.</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Служащие (работники) представляют Сведения ежегодно в следующие сроки:</w:t>
      </w:r>
    </w:p>
    <w:p>
      <w:pPr>
        <w:pStyle w:val="ListParagraph"/>
        <w:numPr>
          <w:ilvl w:val="0"/>
          <w:numId w:val="4"/>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pPr>
        <w:pStyle w:val="ListParagraph"/>
        <w:numPr>
          <w:ilvl w:val="0"/>
          <w:numId w:val="4"/>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не позднее 30 апреля года, следующего за отчетным (государственные служащие, муниципальные служащие, служащие Центрального банка Российской Федерации, работники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 xml:space="preserve">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w:t>
      </w:r>
      <w:r>
        <w:rPr>
          <w:rFonts w:ascii="Times New Roman" w:hAnsi="Times New Roman"/>
          <w:sz w:val="28"/>
        </w:rPr>
        <w:t>в пункте 11 настоящих Методический рекомендаций</w:t>
      </w:r>
      <w:r>
        <w:rPr>
          <w:rFonts w:ascii="Times New Roman" w:hAnsi="Times New Roman"/>
          <w:sz w:val="28"/>
          <w:szCs w:val="28"/>
        </w:rPr>
        <w:t>.</w:t>
      </w:r>
    </w:p>
    <w:p>
      <w:pPr>
        <w:pStyle w:val="ListParagraph"/>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Нерабочий день не является основанием для переноса срока представления Сведений.</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 за исключением ситуаций, если до назначения на эту должность он замещал должность, в отношении которой предусмотрена обязанность представлять Сведения в уполномоченное подразделение Администрации Президента Российской Федерации, и Сведения им были представлены в год назначения, а также если он назначен на эту должность в период, в течение которого Сведения должны быть представлены в соответствии с частью 9 статьи 27 Федерального закона от 21 декабря 2021 г. № 414-ФЗ "Об общих принципах организации публичной власти в субъектах Российской Федерации".</w:t>
      </w:r>
    </w:p>
    <w:p>
      <w:pPr>
        <w:pStyle w:val="Normal"/>
        <w:tabs>
          <w:tab w:val="clear" w:pos="709"/>
          <w:tab w:val="left" w:pos="567" w:leader="none"/>
        </w:tabs>
        <w:ind w:firstLine="567"/>
        <w:rPr>
          <w:rFonts w:ascii="Times New Roman" w:hAnsi="Times New Roman"/>
          <w:b/>
          <w:sz w:val="28"/>
          <w:szCs w:val="28"/>
        </w:rPr>
      </w:pPr>
      <w:r>
        <w:rPr>
          <w:rFonts w:ascii="Times New Roman" w:hAnsi="Times New Roman"/>
          <w:b/>
          <w:sz w:val="28"/>
          <w:szCs w:val="28"/>
        </w:rPr>
        <w:t>Лица, в отношении которых представляются Сведения</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Сведения представляются отдельно:</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1) в отношении служащего (работника),</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2) в отношении его супруги (супруга),</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3) в отношении каждого несовершеннолетнего ребенка служащего (работника).</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b/>
          <w:sz w:val="28"/>
          <w:szCs w:val="28"/>
        </w:rPr>
        <w:t>Отчетный период и отчетная дата представления Сведений</w:t>
      </w:r>
      <w:r>
        <w:rPr>
          <w:rFonts w:ascii="Times New Roman" w:hAnsi="Times New Roman"/>
          <w:sz w:val="28"/>
          <w:szCs w:val="28"/>
        </w:rPr>
        <w:t>, установленные для граждан и служащих (работников), различны:</w:t>
      </w:r>
    </w:p>
    <w:p>
      <w:pPr>
        <w:pStyle w:val="ListParagraph"/>
        <w:numPr>
          <w:ilvl w:val="0"/>
          <w:numId w:val="5"/>
        </w:numPr>
        <w:tabs>
          <w:tab w:val="clear" w:pos="709"/>
          <w:tab w:val="left" w:pos="567" w:leader="none"/>
          <w:tab w:val="left" w:pos="1276" w:leader="none"/>
        </w:tabs>
        <w:ind w:left="0" w:firstLine="567"/>
        <w:rPr>
          <w:rFonts w:ascii="Times New Roman" w:hAnsi="Times New Roman"/>
          <w:sz w:val="28"/>
          <w:szCs w:val="28"/>
        </w:rPr>
      </w:pPr>
      <w:r>
        <w:rPr>
          <w:rFonts w:ascii="Times New Roman" w:hAnsi="Times New Roman"/>
          <w:sz w:val="28"/>
          <w:szCs w:val="28"/>
        </w:rPr>
        <w:t>гражданин представляет:</w:t>
      </w:r>
    </w:p>
    <w:p>
      <w:pPr>
        <w:pStyle w:val="ListParagraph"/>
        <w:tabs>
          <w:tab w:val="clear" w:pos="709"/>
          <w:tab w:val="left" w:pos="567" w:leader="none"/>
          <w:tab w:val="left" w:pos="1276" w:leader="none"/>
        </w:tabs>
        <w:ind w:left="0" w:firstLine="567"/>
        <w:rPr>
          <w:rFonts w:ascii="Times New Roman" w:hAnsi="Times New Roman"/>
          <w:sz w:val="28"/>
          <w:szCs w:val="28"/>
        </w:rPr>
      </w:pPr>
      <w:r>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pPr>
        <w:pStyle w:val="ListParagraph"/>
        <w:tabs>
          <w:tab w:val="clear" w:pos="709"/>
          <w:tab w:val="left" w:pos="567" w:leader="none"/>
          <w:tab w:val="left" w:pos="1276" w:leader="none"/>
        </w:tabs>
        <w:ind w:left="0" w:firstLine="567"/>
        <w:rPr>
          <w:rFonts w:ascii="Times New Roman" w:hAnsi="Times New Roman"/>
          <w:sz w:val="28"/>
          <w:szCs w:val="28"/>
        </w:rPr>
      </w:pPr>
      <w:r>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pPr>
        <w:pStyle w:val="ListParagraph"/>
        <w:numPr>
          <w:ilvl w:val="0"/>
          <w:numId w:val="5"/>
        </w:numPr>
        <w:tabs>
          <w:tab w:val="clear" w:pos="709"/>
          <w:tab w:val="left" w:pos="567" w:leader="none"/>
          <w:tab w:val="left" w:pos="1276" w:leader="none"/>
        </w:tabs>
        <w:ind w:left="0" w:firstLine="567"/>
        <w:rPr>
          <w:rFonts w:ascii="Times New Roman" w:hAnsi="Times New Roman"/>
          <w:sz w:val="28"/>
          <w:szCs w:val="28"/>
        </w:rPr>
      </w:pPr>
      <w:r>
        <w:rPr>
          <w:rFonts w:ascii="Times New Roman" w:hAnsi="Times New Roman"/>
          <w:sz w:val="28"/>
          <w:szCs w:val="28"/>
        </w:rPr>
        <w:t>служащий (работник) представляет ежегодно:</w:t>
      </w:r>
    </w:p>
    <w:p>
      <w:pPr>
        <w:pStyle w:val="Normal"/>
        <w:tabs>
          <w:tab w:val="clear" w:pos="709"/>
          <w:tab w:val="left" w:pos="567" w:leader="none"/>
          <w:tab w:val="left" w:pos="1276" w:leader="none"/>
        </w:tabs>
        <w:ind w:firstLine="567"/>
        <w:rPr>
          <w:rFonts w:ascii="Times New Roman" w:hAnsi="Times New Roman"/>
          <w:sz w:val="28"/>
          <w:szCs w:val="28"/>
        </w:rPr>
      </w:pPr>
      <w:r>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pPr>
        <w:pStyle w:val="Normal"/>
        <w:tabs>
          <w:tab w:val="clear" w:pos="709"/>
          <w:tab w:val="left" w:pos="567" w:leader="none"/>
          <w:tab w:val="left" w:pos="1276" w:leader="none"/>
        </w:tabs>
        <w:ind w:firstLine="567"/>
        <w:rPr>
          <w:rFonts w:ascii="Times New Roman" w:hAnsi="Times New Roman"/>
          <w:sz w:val="28"/>
          <w:szCs w:val="28"/>
        </w:rPr>
      </w:pPr>
      <w:r>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pPr>
        <w:pStyle w:val="ListParagraph"/>
        <w:tabs>
          <w:tab w:val="clear" w:pos="709"/>
          <w:tab w:val="left" w:pos="567" w:leader="none"/>
          <w:tab w:val="left" w:pos="1276" w:leader="none"/>
        </w:tabs>
        <w:ind w:left="0" w:firstLine="567"/>
        <w:rPr>
          <w:rFonts w:ascii="Times New Roman" w:hAnsi="Times New Roman"/>
          <w:sz w:val="28"/>
          <w:szCs w:val="28"/>
        </w:rPr>
      </w:pPr>
      <w:r>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pPr>
        <w:pStyle w:val="ListParagraph"/>
        <w:numPr>
          <w:ilvl w:val="0"/>
          <w:numId w:val="1"/>
        </w:numPr>
        <w:tabs>
          <w:tab w:val="clear" w:pos="709"/>
          <w:tab w:val="left" w:pos="567" w:leader="none"/>
          <w:tab w:val="left" w:pos="993" w:leader="none"/>
          <w:tab w:val="left" w:pos="1134" w:leader="none"/>
        </w:tabs>
        <w:ind w:left="0" w:firstLine="567"/>
        <w:rPr>
          <w:rFonts w:ascii="Times New Roman" w:hAnsi="Times New Roman"/>
          <w:sz w:val="28"/>
          <w:szCs w:val="28"/>
        </w:rPr>
      </w:pPr>
      <w:bookmarkStart w:id="0" w:name="_Hlk153818148"/>
      <w:r>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2025 года, то отчетной датой будет являться 1 июля 2025 года: в таком случае рекомендуется распечатывать справку также в августе 2025 года).</w:t>
      </w:r>
      <w:bookmarkEnd w:id="0"/>
    </w:p>
    <w:p>
      <w:pPr>
        <w:pStyle w:val="Normal"/>
        <w:tabs>
          <w:tab w:val="clear" w:pos="709"/>
          <w:tab w:val="left" w:pos="567" w:leader="none"/>
          <w:tab w:val="left" w:pos="1276" w:leader="none"/>
        </w:tabs>
        <w:ind w:firstLine="567"/>
        <w:rPr>
          <w:rFonts w:ascii="Times New Roman" w:hAnsi="Times New Roman"/>
          <w:sz w:val="28"/>
          <w:szCs w:val="28"/>
        </w:rPr>
      </w:pPr>
      <w:r>
        <w:rPr>
          <w:rFonts w:ascii="Times New Roman" w:hAnsi="Times New Roman"/>
          <w:b/>
          <w:sz w:val="28"/>
          <w:szCs w:val="28"/>
        </w:rPr>
        <w:t>Замещение конкретной должности на отчетную дату как основание для представления Сведений</w:t>
      </w:r>
    </w:p>
    <w:p>
      <w:pPr>
        <w:pStyle w:val="ListParagraph"/>
        <w:numPr>
          <w:ilvl w:val="0"/>
          <w:numId w:val="1"/>
        </w:numPr>
        <w:tabs>
          <w:tab w:val="clear" w:pos="709"/>
          <w:tab w:val="left" w:pos="284" w:leader="none"/>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pPr>
        <w:pStyle w:val="ListParagraph"/>
        <w:numPr>
          <w:ilvl w:val="1"/>
          <w:numId w:val="1"/>
        </w:numPr>
        <w:tabs>
          <w:tab w:val="clear" w:pos="709"/>
          <w:tab w:val="left" w:pos="284" w:leader="none"/>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pPr>
        <w:pStyle w:val="ListParagraph"/>
        <w:tabs>
          <w:tab w:val="clear" w:pos="709"/>
          <w:tab w:val="left" w:pos="0" w:leader="none"/>
          <w:tab w:val="left" w:pos="1134" w:leader="none"/>
        </w:tabs>
        <w:ind w:left="0" w:firstLine="567"/>
        <w:rPr>
          <w:rFonts w:ascii="Times New Roman" w:hAnsi="Times New Roman"/>
          <w:sz w:val="28"/>
          <w:szCs w:val="28"/>
        </w:rPr>
      </w:pPr>
      <w:r>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pPr>
        <w:pStyle w:val="ListParagraph"/>
        <w:numPr>
          <w:ilvl w:val="1"/>
          <w:numId w:val="1"/>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pPr>
        <w:pStyle w:val="ListParagraph"/>
        <w:ind w:left="0" w:firstLine="567"/>
        <w:rPr>
          <w:rFonts w:ascii="Times New Roman" w:hAnsi="Times New Roman"/>
          <w:sz w:val="28"/>
          <w:szCs w:val="28"/>
        </w:rPr>
      </w:pPr>
      <w:r>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Представление Сведений после увольнения служащего (работника) в период с 1 января по 1 (30) апреля 2025 г. не требуется.</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pPr>
        <w:pStyle w:val="Normal"/>
        <w:tabs>
          <w:tab w:val="clear" w:pos="709"/>
          <w:tab w:val="left" w:pos="567" w:leader="none"/>
        </w:tabs>
        <w:ind w:firstLine="567"/>
        <w:rPr>
          <w:rFonts w:ascii="Times New Roman" w:hAnsi="Times New Roman"/>
          <w:b/>
          <w:sz w:val="28"/>
          <w:szCs w:val="28"/>
        </w:rPr>
      </w:pPr>
      <w:r>
        <w:rPr>
          <w:rFonts w:ascii="Times New Roman" w:hAnsi="Times New Roman"/>
          <w:b/>
          <w:sz w:val="28"/>
          <w:szCs w:val="28"/>
        </w:rPr>
        <w:t>Определение круга лиц (членов семьи), в отношении которых необходимо представить Сведения</w:t>
      </w:r>
    </w:p>
    <w:p>
      <w:pPr>
        <w:pStyle w:val="ListParagraph"/>
        <w:numPr>
          <w:ilvl w:val="0"/>
          <w:numId w:val="1"/>
        </w:numPr>
        <w:tabs>
          <w:tab w:val="clear" w:pos="709"/>
          <w:tab w:val="left" w:pos="567" w:leader="none"/>
          <w:tab w:val="left" w:pos="1276" w:leader="none"/>
        </w:tabs>
        <w:ind w:left="0" w:firstLine="567"/>
        <w:rPr>
          <w:rFonts w:ascii="Times New Roman" w:hAnsi="Times New Roman"/>
          <w:sz w:val="28"/>
          <w:szCs w:val="28"/>
        </w:rPr>
      </w:pPr>
      <w:r>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pPr>
        <w:pStyle w:val="Normal"/>
        <w:tabs>
          <w:tab w:val="clear" w:pos="709"/>
          <w:tab w:val="left" w:pos="567" w:leader="none"/>
        </w:tabs>
        <w:ind w:firstLine="567"/>
        <w:rPr>
          <w:rFonts w:ascii="Times New Roman" w:hAnsi="Times New Roman"/>
          <w:b/>
          <w:sz w:val="28"/>
          <w:szCs w:val="28"/>
        </w:rPr>
      </w:pPr>
      <w:r>
        <w:rPr>
          <w:rFonts w:ascii="Times New Roman" w:hAnsi="Times New Roman"/>
          <w:b/>
          <w:sz w:val="28"/>
          <w:szCs w:val="28"/>
        </w:rPr>
        <w:t>Супруги</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pPr>
        <w:pStyle w:val="ListParagraph"/>
        <w:numPr>
          <w:ilvl w:val="0"/>
          <w:numId w:val="1"/>
        </w:numPr>
        <w:tabs>
          <w:tab w:val="clear" w:pos="709"/>
          <w:tab w:val="left" w:pos="567" w:leader="none"/>
          <w:tab w:val="left" w:pos="1134" w:leader="none"/>
        </w:tabs>
        <w:ind w:left="0" w:firstLine="567"/>
        <w:rPr>
          <w:rFonts w:ascii="Times New Roman" w:hAnsi="Times New Roman"/>
          <w:sz w:val="28"/>
          <w:szCs w:val="28"/>
        </w:rPr>
      </w:pPr>
      <w:r>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1):</w:t>
      </w:r>
    </w:p>
    <w:p>
      <w:pPr>
        <w:pStyle w:val="Normal"/>
        <w:ind w:firstLine="851"/>
        <w:rPr>
          <w:rFonts w:ascii="Times New Roman" w:hAnsi="Times New Roman"/>
          <w:sz w:val="28"/>
          <w:szCs w:val="28"/>
        </w:rPr>
      </w:pPr>
      <w:r>
        <w:rPr>
          <w:rFonts w:ascii="Times New Roman" w:hAnsi="Times New Roman"/>
          <w:sz w:val="28"/>
          <w:szCs w:val="28"/>
        </w:rPr>
      </w:r>
    </w:p>
    <w:tbl>
      <w:tblPr>
        <w:tblW w:w="10348" w:type="dxa"/>
        <w:jc w:val="left"/>
        <w:tblInd w:w="108" w:type="dxa"/>
        <w:tblLayout w:type="fixed"/>
        <w:tblCellMar>
          <w:top w:w="0" w:type="dxa"/>
          <w:left w:w="108" w:type="dxa"/>
          <w:bottom w:w="0" w:type="dxa"/>
          <w:right w:w="108" w:type="dxa"/>
        </w:tblCellMar>
        <w:tblLook w:noVBand="1" w:val="04a0" w:noHBand="0" w:lastColumn="0" w:firstColumn="1" w:lastRow="0" w:firstRow="1"/>
      </w:tblPr>
      <w:tblGrid>
        <w:gridCol w:w="3118"/>
        <w:gridCol w:w="7229"/>
      </w:tblGrid>
      <w:tr>
        <w:trPr/>
        <w:tc>
          <w:tcPr>
            <w:tcW w:w="10347"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 xml:space="preserve">Пример: служащий (работник) представляет Сведения в 2025 году </w:t>
              <w:br/>
              <w:t>(за отчетный 2024 год)</w:t>
            </w:r>
          </w:p>
        </w:tc>
      </w:tr>
      <w:tr>
        <w:trPr/>
        <w:tc>
          <w:tcPr>
            <w:tcW w:w="31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jc w:val="left"/>
              <w:rPr>
                <w:rFonts w:ascii="Times New Roman" w:hAnsi="Times New Roman"/>
                <w:sz w:val="28"/>
                <w:szCs w:val="28"/>
              </w:rPr>
            </w:pPr>
            <w:r>
              <w:rPr>
                <w:rFonts w:ascii="Times New Roman" w:hAnsi="Times New Roman"/>
                <w:sz w:val="28"/>
                <w:szCs w:val="28"/>
              </w:rPr>
              <w:t>Брак заключен в органах записи актов гражданского состояния (далее – ЗАГС) в ноябре 2024 года</w:t>
            </w:r>
          </w:p>
        </w:tc>
        <w:tc>
          <w:tcPr>
            <w:tcW w:w="72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супруги (супруга) представляются, поскольку по состоянию на отчетную дату (31 декабря 2024 года) служащий (работник) состоял в браке</w:t>
            </w:r>
          </w:p>
        </w:tc>
      </w:tr>
      <w:tr>
        <w:trPr/>
        <w:tc>
          <w:tcPr>
            <w:tcW w:w="31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Брак заключен в ЗАГСе в марте 2025 года</w:t>
            </w:r>
          </w:p>
        </w:tc>
        <w:tc>
          <w:tcPr>
            <w:tcW w:w="72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2024 года) служащий (работник) не состоял в браке </w:t>
            </w:r>
          </w:p>
        </w:tc>
      </w:tr>
      <w:tr>
        <w:trPr/>
        <w:tc>
          <w:tcPr>
            <w:tcW w:w="10347"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34" w:hanging="0"/>
              <w:rPr>
                <w:rFonts w:ascii="Times New Roman" w:hAnsi="Times New Roman"/>
                <w:sz w:val="28"/>
                <w:szCs w:val="28"/>
              </w:rPr>
            </w:pPr>
            <w:r>
              <w:rPr>
                <w:rFonts w:ascii="Times New Roman" w:hAnsi="Times New Roman"/>
                <w:sz w:val="28"/>
                <w:szCs w:val="28"/>
              </w:rPr>
              <w:t>Пример: гражданин в сентябре 2025 года представляет Сведения в связи с подачей документов для назначения на должность. Отчетной датой является 1 августа 2025 года</w:t>
            </w:r>
          </w:p>
        </w:tc>
      </w:tr>
      <w:tr>
        <w:trPr>
          <w:trHeight w:val="660" w:hRule="atLeast"/>
        </w:trPr>
        <w:tc>
          <w:tcPr>
            <w:tcW w:w="31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34" w:hanging="0"/>
              <w:rPr>
                <w:rFonts w:ascii="Times New Roman" w:hAnsi="Times New Roman"/>
                <w:sz w:val="28"/>
                <w:szCs w:val="28"/>
              </w:rPr>
            </w:pPr>
            <w:r>
              <w:rPr>
                <w:rFonts w:ascii="Times New Roman" w:hAnsi="Times New Roman"/>
                <w:sz w:val="28"/>
                <w:szCs w:val="28"/>
              </w:rPr>
              <w:t>Брак заключен 1 февраля 2025 года</w:t>
            </w:r>
          </w:p>
        </w:tc>
        <w:tc>
          <w:tcPr>
            <w:tcW w:w="72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34" w:hanging="0"/>
              <w:rPr>
                <w:rFonts w:ascii="Times New Roman" w:hAnsi="Times New Roman"/>
                <w:sz w:val="28"/>
                <w:szCs w:val="28"/>
              </w:rPr>
            </w:pPr>
            <w:r>
              <w:rPr>
                <w:rFonts w:ascii="Times New Roman" w:hAnsi="Times New Roman"/>
                <w:sz w:val="28"/>
                <w:szCs w:val="28"/>
              </w:rPr>
              <w:t>Сведения в отношении супруги представляются, поскольку по состоянию на отчетную дату (1 августа 2025 года) гражданин состоял в браке</w:t>
            </w:r>
          </w:p>
        </w:tc>
      </w:tr>
      <w:tr>
        <w:trPr>
          <w:trHeight w:val="131" w:hRule="atLeast"/>
        </w:trPr>
        <w:tc>
          <w:tcPr>
            <w:tcW w:w="31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34" w:hanging="0"/>
              <w:rPr>
                <w:rFonts w:ascii="Times New Roman" w:hAnsi="Times New Roman"/>
                <w:sz w:val="28"/>
                <w:szCs w:val="28"/>
              </w:rPr>
            </w:pPr>
            <w:r>
              <w:rPr>
                <w:rFonts w:ascii="Times New Roman" w:hAnsi="Times New Roman"/>
                <w:sz w:val="28"/>
                <w:szCs w:val="28"/>
              </w:rPr>
              <w:t>Брак заключен 2 августа 2025 года</w:t>
            </w:r>
          </w:p>
        </w:tc>
        <w:tc>
          <w:tcPr>
            <w:tcW w:w="72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34" w:hanging="0"/>
              <w:rPr>
                <w:rFonts w:ascii="Times New Roman" w:hAnsi="Times New Roman"/>
                <w:sz w:val="28"/>
                <w:szCs w:val="28"/>
              </w:rPr>
            </w:pPr>
            <w:r>
              <w:rPr>
                <w:rFonts w:ascii="Times New Roman" w:hAnsi="Times New Roman"/>
                <w:sz w:val="28"/>
                <w:szCs w:val="28"/>
              </w:rPr>
              <w:t>Сведения в отношении супруги не представляются, поскольку по состоянию на отчетную дату (1 августа 2025 года) гражданин еще не состоял в браке</w:t>
            </w:r>
          </w:p>
        </w:tc>
      </w:tr>
    </w:tbl>
    <w:p>
      <w:pPr>
        <w:pStyle w:val="ListParagraph"/>
        <w:tabs>
          <w:tab w:val="clear" w:pos="709"/>
          <w:tab w:val="left" w:pos="1134" w:leader="none"/>
        </w:tabs>
        <w:ind w:left="709" w:firstLine="851"/>
        <w:rPr>
          <w:rFonts w:ascii="Times New Roman" w:hAnsi="Times New Roman"/>
          <w:sz w:val="28"/>
          <w:szCs w:val="28"/>
        </w:rPr>
      </w:pPr>
      <w:r>
        <w:rPr>
          <w:rFonts w:ascii="Times New Roman" w:hAnsi="Times New Roman"/>
          <w:sz w:val="28"/>
          <w:szCs w:val="28"/>
        </w:rPr>
      </w:r>
    </w:p>
    <w:p>
      <w:pPr>
        <w:pStyle w:val="ListParagraph"/>
        <w:numPr>
          <w:ilvl w:val="0"/>
          <w:numId w:val="1"/>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2)</w:t>
      </w:r>
    </w:p>
    <w:p>
      <w:pPr>
        <w:pStyle w:val="Normal"/>
        <w:ind w:firstLine="851"/>
        <w:rPr>
          <w:rFonts w:ascii="Times New Roman" w:hAnsi="Times New Roman"/>
          <w:sz w:val="28"/>
          <w:szCs w:val="28"/>
        </w:rPr>
      </w:pPr>
      <w:r>
        <w:rPr>
          <w:rFonts w:ascii="Times New Roman" w:hAnsi="Times New Roman"/>
          <w:sz w:val="28"/>
          <w:szCs w:val="28"/>
        </w:rPr>
      </w:r>
    </w:p>
    <w:tbl>
      <w:tblPr>
        <w:tblW w:w="10348" w:type="dxa"/>
        <w:jc w:val="left"/>
        <w:tblInd w:w="108" w:type="dxa"/>
        <w:tblLayout w:type="fixed"/>
        <w:tblCellMar>
          <w:top w:w="0" w:type="dxa"/>
          <w:left w:w="108" w:type="dxa"/>
          <w:bottom w:w="0" w:type="dxa"/>
          <w:right w:w="108" w:type="dxa"/>
        </w:tblCellMar>
        <w:tblLook w:noVBand="0" w:val="0000" w:noHBand="0" w:lastColumn="0" w:firstColumn="0" w:lastRow="0" w:firstRow="0"/>
      </w:tblPr>
      <w:tblGrid>
        <w:gridCol w:w="3146"/>
        <w:gridCol w:w="7201"/>
      </w:tblGrid>
      <w:tr>
        <w:trPr>
          <w:trHeight w:val="435" w:hRule="atLeast"/>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Пример: служащий (работник) представляет Сведения в 2025 году (за отчетный 2024 год)</w:t>
            </w:r>
          </w:p>
        </w:tc>
      </w:tr>
      <w:tr>
        <w:trPr>
          <w:trHeight w:val="435" w:hRule="atLeast"/>
        </w:trPr>
        <w:tc>
          <w:tcPr>
            <w:tcW w:w="3146"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Брак был расторгнут в ЗАГСе в ноябре 2024 года</w:t>
            </w:r>
          </w:p>
        </w:tc>
        <w:tc>
          <w:tcPr>
            <w:tcW w:w="7201"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бывшей супруги не представляются, поскольку по состоянию на отчетную дату (31 декабря 2024 года) служащий (работник) не состоял в браке</w:t>
            </w:r>
          </w:p>
        </w:tc>
      </w:tr>
      <w:tr>
        <w:trPr>
          <w:trHeight w:val="435" w:hRule="atLeast"/>
        </w:trPr>
        <w:tc>
          <w:tcPr>
            <w:tcW w:w="3146"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Окончательное решение о расторжении брака было принято судом 12 декабря 2024 года и вступило в законную силу 12 января 2025 года</w:t>
            </w:r>
          </w:p>
        </w:tc>
        <w:tc>
          <w:tcPr>
            <w:tcW w:w="7201"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2025 года. Таким образом, по состоянию на отчетную дату (31 декабря 2024 года) служащий (работник) считался состоявшим в браке</w:t>
            </w:r>
          </w:p>
        </w:tc>
      </w:tr>
      <w:tr>
        <w:trPr>
          <w:trHeight w:val="435" w:hRule="atLeast"/>
        </w:trPr>
        <w:tc>
          <w:tcPr>
            <w:tcW w:w="3146"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 xml:space="preserve">Брак был расторгнут в ЗАГСе в марте 2025 года </w:t>
            </w:r>
          </w:p>
        </w:tc>
        <w:tc>
          <w:tcPr>
            <w:tcW w:w="7201"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по состоянию на отчетную дату (31 декабря 2024 года) служащий (работник) состоял в браке</w:t>
            </w:r>
          </w:p>
        </w:tc>
      </w:tr>
      <w:tr>
        <w:trPr>
          <w:trHeight w:val="435" w:hRule="atLeast"/>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Пример: гражданин в сентябре 2025 года представляет Сведения в связи с подачей документов для назначения на должность. Отчетной датой является 1 августа 2025 года</w:t>
            </w:r>
          </w:p>
        </w:tc>
      </w:tr>
      <w:tr>
        <w:trPr>
          <w:trHeight w:val="435" w:hRule="atLeast"/>
        </w:trPr>
        <w:tc>
          <w:tcPr>
            <w:tcW w:w="3146"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Брак был расторгнут в ЗАГСе 1 июля 2025 года</w:t>
            </w:r>
          </w:p>
        </w:tc>
        <w:tc>
          <w:tcPr>
            <w:tcW w:w="7201"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бывшей супруги не представляются, поскольку по состоянию на отчетную дату (1 августа 2025 года) гражданин не состоял в браке</w:t>
            </w:r>
          </w:p>
        </w:tc>
      </w:tr>
      <w:tr>
        <w:trPr>
          <w:trHeight w:val="435" w:hRule="atLeast"/>
        </w:trPr>
        <w:tc>
          <w:tcPr>
            <w:tcW w:w="3146"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 xml:space="preserve">Брак был расторгнут в ЗАГСе 2 августа 2025 года </w:t>
            </w:r>
          </w:p>
        </w:tc>
        <w:tc>
          <w:tcPr>
            <w:tcW w:w="7201"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по состоянию на отчетную дату (1 августа 2025 года) гражданин состоял в браке</w:t>
            </w:r>
          </w:p>
        </w:tc>
      </w:tr>
      <w:tr>
        <w:trPr>
          <w:trHeight w:val="435" w:hRule="atLeast"/>
        </w:trPr>
        <w:tc>
          <w:tcPr>
            <w:tcW w:w="3146"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Окончательное решение о расторжении брака было принято судом 4 июля 2025 года и вступило в законную силу 4 августа 2025 года</w:t>
            </w:r>
          </w:p>
        </w:tc>
        <w:tc>
          <w:tcPr>
            <w:tcW w:w="7201"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решение о расторжении брака вступило в силу 4 августа 2025 года. Таким образом, по состоянию на отчетную дату (1 августа 2025 года) гражданин считался состоявшим в браке</w:t>
            </w:r>
          </w:p>
        </w:tc>
      </w:tr>
    </w:tbl>
    <w:p>
      <w:pPr>
        <w:pStyle w:val="Normal"/>
        <w:ind w:firstLine="567"/>
        <w:rPr>
          <w:rFonts w:ascii="Times New Roman" w:hAnsi="Times New Roman"/>
          <w:b/>
          <w:sz w:val="28"/>
          <w:szCs w:val="28"/>
        </w:rPr>
      </w:pPr>
      <w:r>
        <w:rPr>
          <w:rFonts w:ascii="Times New Roman" w:hAnsi="Times New Roman"/>
          <w:b/>
          <w:sz w:val="28"/>
          <w:szCs w:val="28"/>
        </w:rPr>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Лица, обязанные представлять Сведения в отношении своих супруг (супругов), не представляют такие Сведения, если: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3) их супруги призваны на военную службу по мобилизации в Вооруженные Силы Российской Федерации;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2">
        <w:r>
          <w:rPr>
            <w:rStyle w:val="-"/>
            <w:rFonts w:ascii="Times New Roman" w:hAnsi="Times New Roman"/>
            <w:sz w:val="28"/>
            <w:szCs w:val="28"/>
          </w:rPr>
          <w:t>https://mintrud.gov.ru/ministry/programms/anticorruption/9/23</w:t>
        </w:r>
      </w:hyperlink>
      <w:r>
        <w:rPr>
          <w:rFonts w:ascii="Times New Roman" w:hAnsi="Times New Roman"/>
          <w:sz w:val="28"/>
          <w:szCs w:val="28"/>
        </w:rPr>
        <w:t>).</w:t>
      </w:r>
    </w:p>
    <w:p>
      <w:pPr>
        <w:pStyle w:val="ListParagraph"/>
        <w:ind w:left="0" w:firstLine="567"/>
        <w:rPr>
          <w:rFonts w:ascii="Times New Roman" w:hAnsi="Times New Roman"/>
          <w:b/>
          <w:sz w:val="28"/>
          <w:szCs w:val="28"/>
        </w:rPr>
      </w:pPr>
      <w:r>
        <w:rPr>
          <w:rFonts w:ascii="Times New Roman" w:hAnsi="Times New Roman"/>
          <w:b/>
          <w:sz w:val="28"/>
          <w:szCs w:val="28"/>
        </w:rPr>
        <w:t>Несовершеннолетние дети</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pPr>
        <w:pStyle w:val="Normal"/>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3):</w:t>
      </w:r>
    </w:p>
    <w:p>
      <w:pPr>
        <w:pStyle w:val="Normal"/>
        <w:ind w:firstLine="851"/>
        <w:rPr>
          <w:rFonts w:ascii="Times New Roman" w:hAnsi="Times New Roman"/>
          <w:sz w:val="28"/>
          <w:szCs w:val="28"/>
        </w:rPr>
      </w:pPr>
      <w:r>
        <w:rPr>
          <w:rFonts w:ascii="Times New Roman" w:hAnsi="Times New Roman"/>
          <w:sz w:val="28"/>
          <w:szCs w:val="28"/>
        </w:rPr>
      </w:r>
    </w:p>
    <w:tbl>
      <w:tblPr>
        <w:tblW w:w="10348" w:type="dxa"/>
        <w:jc w:val="left"/>
        <w:tblInd w:w="108" w:type="dxa"/>
        <w:tblLayout w:type="fixed"/>
        <w:tblCellMar>
          <w:top w:w="0" w:type="dxa"/>
          <w:left w:w="108" w:type="dxa"/>
          <w:bottom w:w="0" w:type="dxa"/>
          <w:right w:w="108" w:type="dxa"/>
        </w:tblCellMar>
        <w:tblLook w:noVBand="0" w:val="0000" w:noHBand="0" w:lastColumn="0" w:firstColumn="0" w:lastRow="0" w:firstRow="0"/>
      </w:tblPr>
      <w:tblGrid>
        <w:gridCol w:w="3118"/>
        <w:gridCol w:w="7229"/>
      </w:tblGrid>
      <w:tr>
        <w:trPr>
          <w:trHeight w:val="435" w:hRule="atLeast"/>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Пример: служащий (работник) представляет Сведения в 2025 году (за отчетный 2024 год)</w:t>
            </w:r>
          </w:p>
        </w:tc>
      </w:tr>
      <w:tr>
        <w:trPr>
          <w:trHeight w:val="435" w:hRule="atLeast"/>
        </w:trPr>
        <w:tc>
          <w:tcPr>
            <w:tcW w:w="3118"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Дочери служащего (работника) 21 мая 2024 года исполнилось 18 лет</w:t>
            </w:r>
          </w:p>
        </w:tc>
        <w:tc>
          <w:tcPr>
            <w:tcW w:w="7229"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дочери не представляются, поскольку по состоянию на отчетную дату (31 декабря 2024 года) дочери служащего (работника) уже исполнилось 18 лет, она являлась совершеннолетней</w:t>
            </w:r>
          </w:p>
        </w:tc>
      </w:tr>
      <w:tr>
        <w:trPr>
          <w:trHeight w:val="435" w:hRule="atLeast"/>
        </w:trPr>
        <w:tc>
          <w:tcPr>
            <w:tcW w:w="3118"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Дочери служащего (работника) 30 декабря 2024 года исполнилось 18 лет</w:t>
            </w:r>
          </w:p>
        </w:tc>
        <w:tc>
          <w:tcPr>
            <w:tcW w:w="7229"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дочери не представляются, поскольку по состоянию на отчетную дату (31 декабря 2024 года) дочери служащего (работника) уже исполнилось 18 лет, она являлась совершеннолетней</w:t>
            </w:r>
          </w:p>
        </w:tc>
      </w:tr>
      <w:tr>
        <w:trPr>
          <w:trHeight w:val="435" w:hRule="atLeast"/>
        </w:trPr>
        <w:tc>
          <w:tcPr>
            <w:tcW w:w="3118"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Дочери служащего (работника) 31 декабря 2024 года исполнилось 18 лет</w:t>
            </w:r>
          </w:p>
        </w:tc>
        <w:tc>
          <w:tcPr>
            <w:tcW w:w="7229"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2025 года. Таким образом, по состоянию на отчетную дату (31 декабря 2024 года) она еще являлась несовершеннолетней</w:t>
            </w:r>
          </w:p>
        </w:tc>
      </w:tr>
      <w:tr>
        <w:trPr>
          <w:trHeight w:val="435" w:hRule="atLeast"/>
        </w:trPr>
        <w:tc>
          <w:tcPr>
            <w:tcW w:w="1034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Пример: гражданин представляет в сентябре 2025 года Сведения в связи с назначением на должность. Отчетной датой является 1 августа 2025 года</w:t>
            </w:r>
          </w:p>
        </w:tc>
      </w:tr>
      <w:tr>
        <w:trPr>
          <w:trHeight w:val="435" w:hRule="atLeast"/>
        </w:trPr>
        <w:tc>
          <w:tcPr>
            <w:tcW w:w="3118"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Сыну гражданина 5 мая 2025 года исполнилось 18 лет</w:t>
            </w:r>
          </w:p>
        </w:tc>
        <w:tc>
          <w:tcPr>
            <w:tcW w:w="7229"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сына не представляются, поскольку он являлся совершеннолетним и по состоянию на отчетную дату (1 августа 2025 года) сыну гражданина уже исполнилось 18 лет</w:t>
            </w:r>
          </w:p>
        </w:tc>
      </w:tr>
      <w:tr>
        <w:trPr>
          <w:trHeight w:val="435" w:hRule="atLeast"/>
        </w:trPr>
        <w:tc>
          <w:tcPr>
            <w:tcW w:w="3118"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Сыну гражданина 1 августа 2025 года исполнилось 18 лет</w:t>
            </w:r>
          </w:p>
        </w:tc>
        <w:tc>
          <w:tcPr>
            <w:tcW w:w="7229"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2025 года. Таким образом, по состоянию на отчетную дату (1 августа 2025 года) он еще являлся несовершеннолетним</w:t>
            </w:r>
          </w:p>
        </w:tc>
      </w:tr>
      <w:tr>
        <w:trPr>
          <w:trHeight w:val="435" w:hRule="atLeast"/>
        </w:trPr>
        <w:tc>
          <w:tcPr>
            <w:tcW w:w="3118"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Сыну гражданина 17 августа 2025 года исполнилось 18 лет</w:t>
            </w:r>
          </w:p>
        </w:tc>
        <w:tc>
          <w:tcPr>
            <w:tcW w:w="7229" w:type="dxa"/>
            <w:tcBorders>
              <w:top w:val="single" w:sz="4" w:space="0" w:color="000000"/>
              <w:left w:val="single" w:sz="4" w:space="0" w:color="000000"/>
              <w:bottom w:val="single" w:sz="4" w:space="0" w:color="000000"/>
              <w:right w:val="single" w:sz="4" w:space="0" w:color="000000"/>
            </w:tcBorders>
          </w:tcPr>
          <w:p>
            <w:pPr>
              <w:pStyle w:val="Normal"/>
              <w:widowControl w:val="false"/>
              <w:ind w:hanging="0"/>
              <w:rPr>
                <w:rFonts w:ascii="Times New Roman" w:hAnsi="Times New Roman"/>
                <w:sz w:val="28"/>
                <w:szCs w:val="28"/>
              </w:rPr>
            </w:pPr>
            <w:r>
              <w:rPr>
                <w:rFonts w:ascii="Times New Roman" w:hAnsi="Times New Roman"/>
                <w:sz w:val="28"/>
                <w:szCs w:val="28"/>
              </w:rPr>
              <w:t xml:space="preserve">Сведения в отношении сына представляются, поскольку по состоянию на отчетную дату (1 августа 2025 года) сын гражданина являлся несовершеннолетним </w:t>
            </w:r>
          </w:p>
        </w:tc>
      </w:tr>
    </w:tbl>
    <w:p>
      <w:pPr>
        <w:pStyle w:val="ListParagraph"/>
        <w:ind w:left="567" w:hanging="0"/>
        <w:rPr>
          <w:rFonts w:ascii="Times New Roman" w:hAnsi="Times New Roman"/>
          <w:sz w:val="28"/>
          <w:szCs w:val="28"/>
        </w:rPr>
      </w:pPr>
      <w:r>
        <w:rPr>
          <w:rFonts w:ascii="Times New Roman" w:hAnsi="Times New Roman"/>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pPr>
        <w:pStyle w:val="ListParagraph"/>
        <w:ind w:left="0" w:firstLine="567"/>
        <w:rPr>
          <w:rFonts w:ascii="Times New Roman" w:hAnsi="Times New Roman"/>
          <w:b/>
          <w:sz w:val="28"/>
          <w:szCs w:val="28"/>
        </w:rPr>
      </w:pPr>
      <w:r>
        <w:rPr>
          <w:rFonts w:ascii="Times New Roman" w:hAnsi="Times New Roman"/>
          <w:b/>
          <w:sz w:val="28"/>
          <w:szCs w:val="28"/>
        </w:rPr>
        <w:t>Уточнение представленных Сведений</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Представление уточненных Сведений за предыдущие декларационные кампании не предусмотрено. В случае выявления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служащему (работнику) рекомендуется к представляемой в 2025 году справке приложить соответствующие письменные пояснения (например, ситуации, связанные с выявлением счета в кредитной организации, отрытого в 2023 году, но не отраженного в справке, представленной в рамках декларационной кампании 2024 года).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pPr>
        <w:pStyle w:val="Normal"/>
        <w:ind w:firstLine="567"/>
        <w:rPr>
          <w:rFonts w:ascii="Times New Roman" w:hAnsi="Times New Roman"/>
          <w:b/>
          <w:sz w:val="28"/>
          <w:szCs w:val="28"/>
        </w:rPr>
      </w:pPr>
      <w:r>
        <w:rPr>
          <w:rFonts w:ascii="Times New Roman" w:hAnsi="Times New Roman"/>
          <w:b/>
          <w:sz w:val="28"/>
          <w:szCs w:val="28"/>
        </w:rPr>
        <w:t>Рекомендуемые действия при невозможности по объективным причинам представить Сведения в отношении члена семьи</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Pr>
          <w:rFonts w:ascii="Times New Roman" w:hAnsi="Times New Roman"/>
          <w:sz w:val="28"/>
          <w:szCs w:val="28"/>
          <w:lang w:val="en-US"/>
        </w:rPr>
        <w:t> </w:t>
      </w:r>
      <w:r>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Pr>
          <w:rFonts w:ascii="Times New Roman" w:hAnsi="Times New Roman"/>
          <w:sz w:val="28"/>
          <w:szCs w:val="28"/>
          <w:lang w:val="en-US"/>
        </w:rPr>
        <w:t> </w:t>
      </w:r>
      <w:r>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 в случае назначения на должность в ситуации, указанной в пункте 5 настоящих Методических рекомендаций.</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Дополнительная информация содержится в Обзоре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 (</w:t>
      </w:r>
      <w:hyperlink r:id="rId13">
        <w:r>
          <w:rPr>
            <w:rStyle w:val="-"/>
            <w:rFonts w:ascii="Times New Roman" w:hAnsi="Times New Roman"/>
            <w:sz w:val="28"/>
            <w:szCs w:val="28"/>
          </w:rPr>
          <w:t>https://mintrud.gov.ru/ministry/programms/anticorruption/9/24</w:t>
        </w:r>
      </w:hyperlink>
      <w:r>
        <w:rPr>
          <w:rFonts w:ascii="Times New Roman" w:hAnsi="Times New Roman"/>
          <w:sz w:val="28"/>
          <w:szCs w:val="28"/>
        </w:rPr>
        <w:t xml:space="preserve">). </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Заявление подается в порядке, установленном нормативным правовым актом органа публичной власти или актом организации.</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Заявление направляется до истечения срока, установленного для представления служащим (работником) Сведений.</w:t>
      </w:r>
    </w:p>
    <w:p>
      <w:pPr>
        <w:pStyle w:val="ListParagraph"/>
        <w:ind w:left="0" w:firstLine="567"/>
        <w:rPr>
          <w:rFonts w:ascii="Times New Roman" w:hAnsi="Times New Roman"/>
          <w:sz w:val="28"/>
          <w:szCs w:val="28"/>
        </w:rPr>
      </w:pPr>
      <w:r>
        <w:rPr>
          <w:rFonts w:ascii="Times New Roman" w:hAnsi="Times New Roman"/>
          <w:sz w:val="28"/>
          <w:szCs w:val="28"/>
        </w:rPr>
        <w:t>Заявление подается (таблица № 4):</w:t>
      </w:r>
    </w:p>
    <w:p>
      <w:pPr>
        <w:pStyle w:val="Normal"/>
        <w:ind w:firstLine="851"/>
        <w:rPr>
          <w:rFonts w:ascii="Times New Roman" w:hAnsi="Times New Roman"/>
          <w:sz w:val="28"/>
          <w:szCs w:val="28"/>
        </w:rPr>
      </w:pPr>
      <w:r>
        <w:rPr>
          <w:rFonts w:ascii="Times New Roman" w:hAnsi="Times New Roman"/>
          <w:sz w:val="28"/>
          <w:szCs w:val="28"/>
        </w:rPr>
      </w:r>
    </w:p>
    <w:tbl>
      <w:tblPr>
        <w:tblW w:w="10348" w:type="dxa"/>
        <w:jc w:val="left"/>
        <w:tblInd w:w="108" w:type="dxa"/>
        <w:tblLayout w:type="fixed"/>
        <w:tblCellMar>
          <w:top w:w="0" w:type="dxa"/>
          <w:left w:w="108" w:type="dxa"/>
          <w:bottom w:w="0" w:type="dxa"/>
          <w:right w:w="108" w:type="dxa"/>
        </w:tblCellMar>
        <w:tblLook w:noVBand="1" w:val="04a0" w:noHBand="0" w:lastColumn="0" w:firstColumn="1" w:lastRow="0" w:firstRow="1"/>
      </w:tblPr>
      <w:tblGrid>
        <w:gridCol w:w="3223"/>
        <w:gridCol w:w="7124"/>
      </w:tblGrid>
      <w:tr>
        <w:trPr/>
        <w:tc>
          <w:tcPr>
            <w:tcW w:w="32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В Управление Президента Российской Федерации по вопросам государственной службы, кадров и  противодействия коррупции</w:t>
            </w:r>
          </w:p>
        </w:tc>
        <w:tc>
          <w:tcPr>
            <w:tcW w:w="712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trPr/>
        <w:tc>
          <w:tcPr>
            <w:tcW w:w="32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 xml:space="preserve">В Департамент кадров Правительства Российской Федерации </w:t>
            </w:r>
          </w:p>
        </w:tc>
        <w:tc>
          <w:tcPr>
            <w:tcW w:w="712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trPr/>
        <w:tc>
          <w:tcPr>
            <w:tcW w:w="32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pPr>
              <w:pStyle w:val="Normal"/>
              <w:widowControl w:val="false"/>
              <w:ind w:hanging="0"/>
              <w:rPr>
                <w:rFonts w:ascii="Times New Roman" w:hAnsi="Times New Roman"/>
                <w:sz w:val="28"/>
                <w:szCs w:val="28"/>
              </w:rPr>
            </w:pPr>
            <w:r>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trPr/>
        <w:tc>
          <w:tcPr>
            <w:tcW w:w="32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 публично-правовой компании</w:t>
            </w:r>
          </w:p>
        </w:tc>
        <w:tc>
          <w:tcPr>
            <w:tcW w:w="712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hanging="0"/>
              <w:rPr>
                <w:rFonts w:ascii="Times New Roman" w:hAnsi="Times New Roman"/>
                <w:sz w:val="28"/>
                <w:szCs w:val="28"/>
              </w:rPr>
            </w:pPr>
            <w:r>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 публично-правовых компаний</w:t>
            </w:r>
          </w:p>
        </w:tc>
      </w:tr>
      <w:tr>
        <w:trPr/>
        <w:tc>
          <w:tcPr>
            <w:tcW w:w="322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ind w:hanging="0"/>
              <w:rPr>
                <w:rFonts w:ascii="Times New Roman" w:hAnsi="Times New Roman"/>
                <w:sz w:val="28"/>
                <w:szCs w:val="28"/>
              </w:rPr>
            </w:pPr>
            <w:r>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4"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ind w:firstLine="33"/>
              <w:rPr>
                <w:rFonts w:ascii="Times New Roman" w:hAnsi="Times New Roman"/>
                <w:sz w:val="28"/>
                <w:szCs w:val="28"/>
              </w:rPr>
            </w:pPr>
            <w:r>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 </w:t>
            </w:r>
          </w:p>
        </w:tc>
      </w:tr>
      <w:tr>
        <w:trPr/>
        <w:tc>
          <w:tcPr>
            <w:tcW w:w="322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ind w:hanging="0"/>
              <w:rPr>
                <w:rFonts w:ascii="Times New Roman" w:hAnsi="Times New Roman"/>
                <w:sz w:val="28"/>
                <w:szCs w:val="28"/>
              </w:rPr>
            </w:pPr>
            <w:r>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4"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ind w:firstLine="33"/>
              <w:rPr>
                <w:rFonts w:ascii="Times New Roman" w:hAnsi="Times New Roman"/>
                <w:sz w:val="28"/>
                <w:szCs w:val="28"/>
              </w:rPr>
            </w:pPr>
            <w:r>
              <w:rPr>
                <w:rFonts w:ascii="Times New Roman" w:hAnsi="Times New Roman"/>
                <w:sz w:val="28"/>
                <w:szCs w:val="28"/>
              </w:rPr>
              <w:t>атаманом Всероссийского казачьего общества, гражданином, претендующим на замещение должности атамана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pPr>
        <w:pStyle w:val="Normal"/>
        <w:rPr>
          <w:rFonts w:ascii="Times New Roman" w:hAnsi="Times New Roman"/>
          <w:sz w:val="28"/>
          <w:szCs w:val="28"/>
        </w:rPr>
      </w:pPr>
      <w:r>
        <w:rPr>
          <w:rFonts w:ascii="Times New Roman" w:hAnsi="Times New Roman"/>
          <w:sz w:val="28"/>
          <w:szCs w:val="28"/>
        </w:rPr>
      </w:r>
    </w:p>
    <w:p>
      <w:pPr>
        <w:pStyle w:val="ListParagraph"/>
        <w:numPr>
          <w:ilvl w:val="0"/>
          <w:numId w:val="1"/>
        </w:numPr>
        <w:ind w:left="0" w:firstLine="709"/>
        <w:rPr>
          <w:rFonts w:ascii="Times New Roman" w:hAnsi="Times New Roman"/>
          <w:sz w:val="28"/>
          <w:szCs w:val="28"/>
        </w:rPr>
      </w:pPr>
      <w:r>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Pr>
          <w:rFonts w:ascii="Times New Roman" w:hAnsi="Times New Roman"/>
          <w:b/>
          <w:sz w:val="28"/>
          <w:szCs w:val="28"/>
        </w:rPr>
        <w:t>своих</w:t>
      </w:r>
      <w:r>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При невозможности представить Сведения вследствие не зависящих от служащего (работника) обстоятельств следует руководствоваться пунктами 45 и 46 настоящих Методических рекомендаций.</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 </w:t>
      </w:r>
    </w:p>
    <w:p>
      <w:pPr>
        <w:pStyle w:val="ListParagraph"/>
        <w:numPr>
          <w:ilvl w:val="0"/>
          <w:numId w:val="1"/>
        </w:numPr>
        <w:ind w:left="0" w:firstLine="567"/>
        <w:rPr>
          <w:rFonts w:ascii="Times New Roman" w:hAnsi="Times New Roman"/>
          <w:sz w:val="28"/>
          <w:szCs w:val="28"/>
          <w:lang w:eastAsia="ru-RU"/>
        </w:rPr>
      </w:pPr>
      <w:r>
        <w:rPr>
          <w:rFonts w:ascii="Times New Roman" w:hAnsi="Times New Roman"/>
          <w:sz w:val="28"/>
          <w:szCs w:val="28"/>
        </w:rPr>
        <w:t>Вопросы подачи лицом, замещающим муниципальную должность депутата представительного органа муниципального образования или должность депутата законодательного органа субъекта Российской Федерации и осуществляющим свои полномочия без отрыва от основной деятельности (</w:t>
      </w:r>
      <w:r>
        <w:rPr>
          <w:rFonts w:ascii="Times New Roman" w:hAnsi="Times New Roman"/>
          <w:sz w:val="28"/>
        </w:rPr>
        <w:t>на непостоянной основе</w:t>
      </w:r>
      <w:r>
        <w:rPr>
          <w:rFonts w:ascii="Times New Roman" w:hAnsi="Times New Roman"/>
          <w:sz w:val="28"/>
          <w:szCs w:val="28"/>
        </w:rPr>
        <w:t>), заявления о невозможности сообщить высшему должностному лицу субъекта Российской Федерации или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регулируются законом (законами) субъекта Российской Федерации.</w:t>
      </w:r>
    </w:p>
    <w:p>
      <w:pPr>
        <w:pStyle w:val="ListParagraph"/>
        <w:ind w:left="0" w:firstLine="567"/>
        <w:rPr>
          <w:rFonts w:ascii="Times New Roman" w:hAnsi="Times New Roman"/>
          <w:sz w:val="28"/>
          <w:szCs w:val="28"/>
          <w:lang w:eastAsia="ru-RU"/>
        </w:rPr>
      </w:pPr>
      <w:r>
        <w:rPr>
          <w:rFonts w:ascii="Times New Roman" w:hAnsi="Times New Roman"/>
          <w:sz w:val="28"/>
          <w:szCs w:val="28"/>
        </w:rPr>
        <w:t xml:space="preserve">Вопросы подачи </w:t>
      </w:r>
      <w:r>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Pr>
          <w:rFonts w:ascii="Times New Roman" w:hAnsi="Times New Roman"/>
          <w:sz w:val="28"/>
          <w:szCs w:val="28"/>
        </w:rPr>
        <w:t>заявления о невозможности представить Сведения в отношении супруги (супруга) или несовершеннолетних детей</w:t>
      </w:r>
      <w:r>
        <w:rPr>
          <w:rFonts w:ascii="Times New Roman" w:hAnsi="Times New Roman"/>
          <w:sz w:val="28"/>
          <w:szCs w:val="28"/>
          <w:lang w:eastAsia="ru-RU"/>
        </w:rPr>
        <w:t xml:space="preserve"> регулируются нормативным правовым актом субъекта Российской Федерации и муниципальным правовым актом соответственно.</w:t>
      </w:r>
    </w:p>
    <w:p>
      <w:pPr>
        <w:pStyle w:val="Normal"/>
        <w:ind w:firstLine="567"/>
        <w:rPr>
          <w:rFonts w:ascii="Times New Roman" w:hAnsi="Times New Roman"/>
          <w:b/>
          <w:sz w:val="28"/>
          <w:szCs w:val="28"/>
        </w:rPr>
      </w:pPr>
      <w:r>
        <w:rPr>
          <w:rFonts w:ascii="Times New Roman" w:hAnsi="Times New Roman"/>
          <w:b/>
          <w:sz w:val="28"/>
          <w:szCs w:val="28"/>
        </w:rPr>
        <w:t>Рекомендуемые действия при невозможности представить Сведения вследствие не зависящих от служащего (работника) обстоятельств</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случае невозможности исполнения служащим (работником) обязанности представить Сведения (как в отношении самого себя, так и в отношении членов семьи)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pPr>
        <w:pStyle w:val="ListParagraph"/>
        <w:ind w:left="0" w:firstLine="567"/>
        <w:rPr>
          <w:rFonts w:ascii="Times New Roman" w:hAnsi="Times New Roman"/>
          <w:sz w:val="28"/>
          <w:szCs w:val="28"/>
        </w:rPr>
      </w:pPr>
      <w:r>
        <w:rPr>
          <w:rFonts w:ascii="Times New Roman" w:hAnsi="Times New Roman"/>
          <w:sz w:val="28"/>
          <w:szCs w:val="28"/>
        </w:rPr>
        <w:t xml:space="preserve">Конкретные не зависящие от служащего (работника) обстоятельства приведены в части 4 статьи 13 Федерального закона от 25 декабря 2008 г. № 273-ФЗ "О противодействии коррупции".  </w:t>
      </w:r>
    </w:p>
    <w:p>
      <w:pPr>
        <w:pStyle w:val="ListParagraph"/>
        <w:ind w:left="0" w:firstLine="567"/>
        <w:rPr>
          <w:rFonts w:ascii="Times New Roman" w:hAnsi="Times New Roman"/>
          <w:sz w:val="28"/>
          <w:szCs w:val="28"/>
        </w:rPr>
      </w:pPr>
      <w:r>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pPr>
        <w:pStyle w:val="Normal"/>
        <w:ind w:firstLine="851"/>
        <w:rPr>
          <w:rFonts w:ascii="Times New Roman" w:hAnsi="Times New Roman"/>
          <w:sz w:val="28"/>
          <w:szCs w:val="28"/>
        </w:rPr>
      </w:pPr>
      <w:r>
        <w:rPr>
          <w:rFonts w:ascii="Times New Roman" w:hAnsi="Times New Roman"/>
          <w:sz w:val="28"/>
          <w:szCs w:val="28"/>
        </w:rPr>
      </w:r>
    </w:p>
    <w:p>
      <w:pPr>
        <w:pStyle w:val="Normal"/>
        <w:ind w:hanging="0"/>
        <w:jc w:val="center"/>
        <w:rPr>
          <w:rFonts w:ascii="Times New Roman" w:hAnsi="Times New Roman"/>
          <w:b/>
          <w:sz w:val="28"/>
          <w:szCs w:val="28"/>
        </w:rPr>
      </w:pPr>
      <w:r>
        <w:rPr>
          <w:rFonts w:ascii="Times New Roman" w:hAnsi="Times New Roman"/>
          <w:b/>
          <w:sz w:val="28"/>
          <w:szCs w:val="28"/>
          <w:lang w:val="en-US"/>
        </w:rPr>
        <w:t>II</w:t>
      </w:r>
      <w:r>
        <w:rPr>
          <w:rFonts w:ascii="Times New Roman" w:hAnsi="Times New Roman"/>
          <w:b/>
          <w:sz w:val="28"/>
          <w:szCs w:val="28"/>
        </w:rPr>
        <w:t xml:space="preserve">. Заполнение справки о доходах, расходах, </w:t>
      </w:r>
    </w:p>
    <w:p>
      <w:pPr>
        <w:pStyle w:val="Normal"/>
        <w:ind w:hanging="0"/>
        <w:jc w:val="center"/>
        <w:rPr>
          <w:rFonts w:ascii="Times New Roman" w:hAnsi="Times New Roman"/>
          <w:b/>
          <w:sz w:val="28"/>
          <w:szCs w:val="28"/>
        </w:rPr>
      </w:pPr>
      <w:r>
        <w:rPr>
          <w:rFonts w:ascii="Times New Roman" w:hAnsi="Times New Roman"/>
          <w:b/>
          <w:sz w:val="28"/>
          <w:szCs w:val="28"/>
        </w:rPr>
        <w:t>об имуществе и обязательствах имущественного характера</w:t>
      </w:r>
    </w:p>
    <w:p>
      <w:pPr>
        <w:pStyle w:val="Normal"/>
        <w:ind w:firstLine="851"/>
        <w:jc w:val="center"/>
        <w:rPr>
          <w:rFonts w:ascii="Times New Roman" w:hAnsi="Times New Roman"/>
          <w:b/>
          <w:sz w:val="28"/>
          <w:szCs w:val="28"/>
        </w:rPr>
      </w:pPr>
      <w:r>
        <w:rPr>
          <w:rFonts w:ascii="Times New Roman" w:hAnsi="Times New Roman"/>
          <w:b/>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pPr>
        <w:pStyle w:val="ListParagraph"/>
        <w:ind w:left="0" w:firstLine="567"/>
        <w:rPr>
          <w:rFonts w:ascii="Times New Roman" w:hAnsi="Times New Roman"/>
          <w:sz w:val="28"/>
          <w:szCs w:val="28"/>
        </w:rPr>
      </w:pPr>
      <w:r>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 и отдельных случаев, прямо указанных в настоящих Методических рекомендациях).</w:t>
      </w:r>
    </w:p>
    <w:p>
      <w:pPr>
        <w:pStyle w:val="ListParagraph"/>
        <w:ind w:left="0" w:firstLine="567"/>
        <w:rPr>
          <w:rFonts w:ascii="Times New Roman" w:hAnsi="Times New Roman"/>
          <w:sz w:val="28"/>
          <w:szCs w:val="28"/>
        </w:rPr>
      </w:pPr>
      <w:r>
        <w:rPr>
          <w:rFonts w:ascii="Times New Roman" w:hAnsi="Times New Roman"/>
          <w:sz w:val="28"/>
          <w:szCs w:val="28"/>
        </w:rPr>
        <w:t>К справке могут быть приложены любые документы, в том числе пояснения служащего (работника). При этом разделом 2 справки предусмотрен случай, при котором к справке в обязательном порядке прилагаются соответствующие документы. В иных случаях приложение является правом служащего (работника).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Правоприменительная практика свидетельствует, что наиболее востребованными документами (источниками информации), на основании которых рекомендуется заполнять справку, являются следующие (таблица № 5):</w:t>
      </w:r>
    </w:p>
    <w:p>
      <w:pPr>
        <w:pStyle w:val="ListParagraph"/>
        <w:ind w:left="567" w:hanging="0"/>
        <w:rPr>
          <w:rFonts w:ascii="Times New Roman" w:hAnsi="Times New Roman"/>
          <w:sz w:val="28"/>
          <w:szCs w:val="28"/>
        </w:rPr>
      </w:pPr>
      <w:r>
        <w:rPr>
          <w:rFonts w:ascii="Times New Roman" w:hAnsi="Times New Roman"/>
          <w:sz w:val="28"/>
          <w:szCs w:val="28"/>
        </w:rPr>
      </w:r>
    </w:p>
    <w:tbl>
      <w:tblPr>
        <w:tblStyle w:val="af4"/>
        <w:tblW w:w="10195"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2263"/>
        <w:gridCol w:w="7931"/>
      </w:tblGrid>
      <w:tr>
        <w:trPr/>
        <w:tc>
          <w:tcPr>
            <w:tcW w:w="2263" w:type="dxa"/>
            <w:tcBorders/>
          </w:tcPr>
          <w:p>
            <w:pPr>
              <w:pStyle w:val="Normal"/>
              <w:widowControl/>
              <w:spacing w:before="0" w:after="0"/>
              <w:ind w:left="0" w:right="0" w:hanging="0"/>
              <w:jc w:val="center"/>
              <w:rPr>
                <w:rFonts w:ascii="Times New Roman" w:hAnsi="Times New Roman"/>
                <w:b/>
                <w:sz w:val="28"/>
                <w:szCs w:val="28"/>
              </w:rPr>
            </w:pPr>
            <w:r>
              <w:rPr>
                <w:rFonts w:eastAsia="Calibri" w:cs="Times New Roman" w:ascii="Times New Roman" w:hAnsi="Times New Roman"/>
                <w:b/>
                <w:kern w:val="0"/>
                <w:sz w:val="28"/>
                <w:szCs w:val="28"/>
                <w:lang w:val="ru-RU" w:bidi="ar-SA"/>
              </w:rPr>
              <w:t>Раздел (подраздел) справки</w:t>
            </w:r>
          </w:p>
        </w:tc>
        <w:tc>
          <w:tcPr>
            <w:tcW w:w="7931" w:type="dxa"/>
            <w:tcBorders/>
          </w:tcPr>
          <w:p>
            <w:pPr>
              <w:pStyle w:val="Normal"/>
              <w:widowControl/>
              <w:spacing w:before="0" w:after="0"/>
              <w:ind w:left="0" w:right="0" w:hanging="0"/>
              <w:jc w:val="center"/>
              <w:rPr>
                <w:rFonts w:ascii="Times New Roman" w:hAnsi="Times New Roman"/>
                <w:b/>
                <w:sz w:val="28"/>
                <w:szCs w:val="28"/>
              </w:rPr>
            </w:pPr>
            <w:r>
              <w:rPr>
                <w:rFonts w:eastAsia="Calibri" w:cs="Times New Roman" w:ascii="Times New Roman" w:hAnsi="Times New Roman"/>
                <w:b/>
                <w:kern w:val="0"/>
                <w:sz w:val="28"/>
                <w:szCs w:val="28"/>
                <w:lang w:val="ru-RU" w:bidi="ar-SA"/>
              </w:rPr>
              <w:t>Источник информации</w:t>
            </w:r>
          </w:p>
        </w:tc>
      </w:tr>
      <w:tr>
        <w:trPr/>
        <w:tc>
          <w:tcPr>
            <w:tcW w:w="2263" w:type="dxa"/>
            <w:vMerge w:val="restart"/>
            <w:tcBorders/>
          </w:tcPr>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Сведения о доходах</w:t>
            </w:r>
          </w:p>
        </w:tc>
        <w:tc>
          <w:tcPr>
            <w:tcW w:w="7931" w:type="dxa"/>
            <w:tcBorders/>
          </w:tcPr>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 xml:space="preserve">Справка о доходах и суммах налога физического лица, которую можно получить через Личный кабинет налогоплательщика (официальный сайт </w:t>
            </w:r>
            <w:hyperlink r:id="rId14">
              <w:r>
                <w:rPr>
                  <w:rStyle w:val="-"/>
                  <w:rFonts w:eastAsia="Calibri" w:cs="Times New Roman" w:ascii="Times New Roman" w:hAnsi="Times New Roman"/>
                  <w:kern w:val="0"/>
                  <w:sz w:val="28"/>
                  <w:szCs w:val="28"/>
                  <w:lang w:val="ru-RU" w:bidi="ar-SA"/>
                </w:rPr>
                <w:t>https://lkfl2.nalog.ru/lkfl</w:t>
              </w:r>
            </w:hyperlink>
            <w:r>
              <w:rPr>
                <w:rFonts w:eastAsia="Calibri" w:cs="Times New Roman" w:ascii="Times New Roman" w:hAnsi="Times New Roman"/>
                <w:kern w:val="0"/>
                <w:sz w:val="28"/>
                <w:szCs w:val="28"/>
                <w:lang w:val="ru-RU" w:bidi="ar-SA"/>
              </w:rPr>
              <w:t>)</w:t>
            </w:r>
          </w:p>
        </w:tc>
      </w:tr>
      <w:tr>
        <w:trPr/>
        <w:tc>
          <w:tcPr>
            <w:tcW w:w="2263" w:type="dxa"/>
            <w:vMerge w:val="continue"/>
            <w:tcBorders/>
          </w:tcPr>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r>
          </w:p>
        </w:tc>
        <w:tc>
          <w:tcPr>
            <w:tcW w:w="7931" w:type="dxa"/>
            <w:tcBorders/>
          </w:tcPr>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 xml:space="preserve">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w:t>
            </w:r>
            <w:hyperlink r:id="rId15">
              <w:r>
                <w:rPr>
                  <w:rStyle w:val="-"/>
                  <w:rFonts w:eastAsia="Calibri" w:cs="Times New Roman" w:ascii="Times New Roman" w:hAnsi="Times New Roman"/>
                  <w:kern w:val="0"/>
                  <w:sz w:val="28"/>
                  <w:szCs w:val="28"/>
                  <w:lang w:val="ru-RU" w:bidi="ar-SA"/>
                </w:rPr>
                <w:t>https://lkfl2.nalog.ru/lkfl</w:t>
              </w:r>
            </w:hyperlink>
            <w:r>
              <w:rPr>
                <w:rFonts w:eastAsia="Calibri" w:cs="Times New Roman" w:ascii="Times New Roman" w:hAnsi="Times New Roman"/>
                <w:kern w:val="0"/>
                <w:sz w:val="28"/>
                <w:szCs w:val="28"/>
                <w:lang w:val="ru-RU" w:bidi="ar-SA"/>
              </w:rPr>
              <w:t>) или посредством официального сайта Фонда пенсионного и социального страхования Российской Федерации (</w:t>
            </w:r>
            <w:hyperlink r:id="rId16">
              <w:r>
                <w:rPr>
                  <w:rStyle w:val="-"/>
                  <w:rFonts w:eastAsia="Calibri" w:cs="Times New Roman" w:ascii="Times New Roman" w:hAnsi="Times New Roman"/>
                  <w:kern w:val="0"/>
                  <w:sz w:val="28"/>
                  <w:szCs w:val="28"/>
                  <w:lang w:val="ru-RU" w:bidi="ar-SA"/>
                </w:rPr>
                <w:t>https://sfr.gov.ru/</w:t>
              </w:r>
            </w:hyperlink>
            <w:r>
              <w:rPr>
                <w:rFonts w:eastAsia="Calibri" w:cs="Times New Roman" w:ascii="Times New Roman" w:hAnsi="Times New Roman"/>
                <w:kern w:val="0"/>
                <w:sz w:val="28"/>
                <w:szCs w:val="28"/>
                <w:lang w:val="ru-RU" w:bidi="ar-SA"/>
              </w:rPr>
              <w:t>)</w:t>
            </w:r>
          </w:p>
        </w:tc>
      </w:tr>
      <w:tr>
        <w:trPr/>
        <w:tc>
          <w:tcPr>
            <w:tcW w:w="2263" w:type="dxa"/>
            <w:vMerge w:val="continue"/>
            <w:tcBorders/>
          </w:tcPr>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r>
          </w:p>
        </w:tc>
        <w:tc>
          <w:tcPr>
            <w:tcW w:w="7931" w:type="dxa"/>
            <w:tcBorders/>
          </w:tcPr>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Выписка о движении денежных средств по счету</w:t>
            </w:r>
          </w:p>
        </w:tc>
      </w:tr>
      <w:tr>
        <w:trPr/>
        <w:tc>
          <w:tcPr>
            <w:tcW w:w="2263" w:type="dxa"/>
            <w:tcBorders/>
          </w:tcPr>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Сведения о недвижимом имуществе</w:t>
            </w:r>
          </w:p>
        </w:tc>
        <w:tc>
          <w:tcPr>
            <w:tcW w:w="7931" w:type="dxa"/>
            <w:tcBorders/>
          </w:tcPr>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 xml:space="preserve">Регистрационные документы. </w:t>
            </w:r>
          </w:p>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17">
              <w:r>
                <w:rPr>
                  <w:rStyle w:val="-"/>
                  <w:rFonts w:eastAsia="Calibri" w:cs="Times New Roman" w:ascii="Times New Roman" w:hAnsi="Times New Roman"/>
                  <w:kern w:val="0"/>
                  <w:sz w:val="28"/>
                  <w:szCs w:val="28"/>
                  <w:lang w:val="ru-RU" w:bidi="ar-SA"/>
                </w:rPr>
                <w:t>https://lkfl2.nalog.ru/lkfl</w:t>
              </w:r>
            </w:hyperlink>
            <w:r>
              <w:rPr>
                <w:rFonts w:eastAsia="Calibri" w:cs="Times New Roman" w:ascii="Times New Roman" w:hAnsi="Times New Roman"/>
                <w:kern w:val="0"/>
                <w:sz w:val="28"/>
                <w:szCs w:val="28"/>
                <w:lang w:val="ru-RU" w:bidi="ar-SA"/>
              </w:rPr>
              <w:t>)</w:t>
            </w:r>
          </w:p>
        </w:tc>
      </w:tr>
      <w:tr>
        <w:trPr/>
        <w:tc>
          <w:tcPr>
            <w:tcW w:w="2263" w:type="dxa"/>
            <w:tcBorders/>
          </w:tcPr>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Сведения о транспортных средствах</w:t>
            </w:r>
          </w:p>
        </w:tc>
        <w:tc>
          <w:tcPr>
            <w:tcW w:w="7931" w:type="dxa"/>
            <w:tcBorders/>
          </w:tcPr>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Регистрационные документы.</w:t>
            </w:r>
          </w:p>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18">
              <w:r>
                <w:rPr>
                  <w:rStyle w:val="-"/>
                  <w:rFonts w:eastAsia="Calibri" w:cs="Times New Roman" w:ascii="Times New Roman" w:hAnsi="Times New Roman"/>
                  <w:kern w:val="0"/>
                  <w:sz w:val="28"/>
                  <w:szCs w:val="28"/>
                  <w:lang w:val="ru-RU" w:bidi="ar-SA"/>
                </w:rPr>
                <w:t>https://lkfl2.nalog.ru/lkfl</w:t>
              </w:r>
            </w:hyperlink>
            <w:r>
              <w:rPr>
                <w:rFonts w:eastAsia="Calibri" w:cs="Times New Roman" w:ascii="Times New Roman" w:hAnsi="Times New Roman"/>
                <w:kern w:val="0"/>
                <w:sz w:val="28"/>
                <w:szCs w:val="28"/>
                <w:lang w:val="ru-RU" w:bidi="ar-SA"/>
              </w:rPr>
              <w:t>)</w:t>
            </w:r>
          </w:p>
        </w:tc>
      </w:tr>
      <w:tr>
        <w:trPr/>
        <w:tc>
          <w:tcPr>
            <w:tcW w:w="2263" w:type="dxa"/>
            <w:tcBorders/>
          </w:tcPr>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Сведения о счетах в банках и иных кредитных организациях</w:t>
            </w:r>
          </w:p>
        </w:tc>
        <w:tc>
          <w:tcPr>
            <w:tcW w:w="7931" w:type="dxa"/>
            <w:tcBorders/>
          </w:tcPr>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 xml:space="preserve">Ориентирующая информация может быть получена через личный кабинет налогоплательщика (официальный сайт </w:t>
            </w:r>
            <w:hyperlink r:id="rId19">
              <w:r>
                <w:rPr>
                  <w:rStyle w:val="-"/>
                  <w:rFonts w:eastAsia="Calibri" w:cs="Times New Roman" w:ascii="Times New Roman" w:hAnsi="Times New Roman"/>
                  <w:kern w:val="0"/>
                  <w:sz w:val="28"/>
                  <w:szCs w:val="28"/>
                  <w:lang w:val="ru-RU" w:bidi="ar-SA"/>
                </w:rPr>
                <w:t>https://lkfl2.nalog.ru/lkfl</w:t>
              </w:r>
            </w:hyperlink>
            <w:r>
              <w:rPr>
                <w:rFonts w:eastAsia="Calibri" w:cs="Times New Roman" w:ascii="Times New Roman" w:hAnsi="Times New Roman"/>
                <w:kern w:val="0"/>
                <w:sz w:val="28"/>
                <w:szCs w:val="28"/>
                <w:lang w:val="ru-RU" w:bidi="ar-SA"/>
              </w:rPr>
              <w:t>).</w:t>
            </w:r>
          </w:p>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Впоследствии указанные 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r>
        <w:trPr/>
        <w:tc>
          <w:tcPr>
            <w:tcW w:w="2263" w:type="dxa"/>
            <w:tcBorders/>
          </w:tcPr>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Сведения о ценных бумагах</w:t>
            </w:r>
          </w:p>
        </w:tc>
        <w:tc>
          <w:tcPr>
            <w:tcW w:w="7931" w:type="dxa"/>
            <w:tcBorders/>
          </w:tcPr>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Регистрационные документы</w:t>
            </w:r>
          </w:p>
        </w:tc>
      </w:tr>
      <w:tr>
        <w:trPr/>
        <w:tc>
          <w:tcPr>
            <w:tcW w:w="2263" w:type="dxa"/>
            <w:tcBorders/>
          </w:tcPr>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Сведения об объектах недвижимого имущества, находящихся в пользовании</w:t>
            </w:r>
          </w:p>
        </w:tc>
        <w:tc>
          <w:tcPr>
            <w:tcW w:w="7931" w:type="dxa"/>
            <w:tcBorders/>
          </w:tcPr>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 xml:space="preserve">При наличии письменных оснований пользования – письменные основания </w:t>
            </w:r>
          </w:p>
        </w:tc>
      </w:tr>
      <w:tr>
        <w:trPr/>
        <w:tc>
          <w:tcPr>
            <w:tcW w:w="2263" w:type="dxa"/>
            <w:tcBorders/>
          </w:tcPr>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Сведения о срочных обязательствах финансового характера</w:t>
            </w:r>
          </w:p>
        </w:tc>
        <w:tc>
          <w:tcPr>
            <w:tcW w:w="7931" w:type="dxa"/>
            <w:tcBorders/>
          </w:tcPr>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 xml:space="preserve">При наличии письменных оснований возникновения обязательства – письменные основания. </w:t>
            </w:r>
          </w:p>
          <w:p>
            <w:pPr>
              <w:pStyle w:val="Normal"/>
              <w:widowControl/>
              <w:spacing w:before="0" w:after="0"/>
              <w:ind w:left="0" w:right="0" w:hanging="0"/>
              <w:rPr>
                <w:rFonts w:ascii="Times New Roman" w:hAnsi="Times New Roman"/>
                <w:sz w:val="28"/>
                <w:szCs w:val="28"/>
              </w:rPr>
            </w:pPr>
            <w:r>
              <w:rPr>
                <w:rFonts w:eastAsia="Calibri" w:cs="Times New Roman" w:ascii="Times New Roman" w:hAnsi="Times New Roman"/>
                <w:kern w:val="0"/>
                <w:sz w:val="28"/>
                <w:szCs w:val="28"/>
                <w:lang w:val="ru-RU" w:bidi="ar-SA"/>
              </w:rPr>
              <w:t>В отношении обязательств, стороной которых</w:t>
            </w:r>
            <w:bookmarkStart w:id="1" w:name="_GoBack"/>
            <w:bookmarkEnd w:id="1"/>
            <w:r>
              <w:rPr>
                <w:rFonts w:eastAsia="Calibri" w:cs="Times New Roman" w:ascii="Times New Roman" w:hAnsi="Times New Roman"/>
                <w:kern w:val="0"/>
                <w:sz w:val="28"/>
                <w:szCs w:val="28"/>
                <w:lang w:val="ru-RU" w:bidi="ar-SA"/>
              </w:rPr>
              <w:t xml:space="preserve"> является банк (иная кредитная организация) – 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t>Ряд сведений также доступен на Портале государственных услуг Российской Федерации (</w:t>
      </w:r>
      <w:hyperlink r:id="rId20">
        <w:r>
          <w:rPr>
            <w:rStyle w:val="-"/>
            <w:rFonts w:ascii="Times New Roman" w:hAnsi="Times New Roman"/>
            <w:sz w:val="28"/>
            <w:szCs w:val="28"/>
          </w:rPr>
          <w:t>https://www.gosuslugi.ru/</w:t>
        </w:r>
      </w:hyperlink>
      <w:r>
        <w:rPr>
          <w:rFonts w:ascii="Times New Roman" w:hAnsi="Times New Roman"/>
          <w:sz w:val="28"/>
          <w:szCs w:val="28"/>
        </w:rPr>
        <w:t>).</w:t>
      </w:r>
    </w:p>
    <w:p>
      <w:pPr>
        <w:pStyle w:val="Normal"/>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Справка заполняется с использованием актуальной на дату представления Сведений версии СПО "Справки БК", разработчиком которой не является Минтруд России.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Оценка актуальности версии СПО "Справки БК" осуществляется при приеме справки.</w:t>
      </w:r>
    </w:p>
    <w:p>
      <w:pPr>
        <w:pStyle w:val="ListParagraph"/>
        <w:ind w:left="0" w:firstLine="567"/>
        <w:rPr>
          <w:rFonts w:ascii="Times New Roman" w:hAnsi="Times New Roman"/>
          <w:sz w:val="28"/>
          <w:szCs w:val="28"/>
        </w:rPr>
      </w:pPr>
      <w:r>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СПО "Справки БК" размещено на официальном сайте Президента Российской Федерации (</w:t>
      </w:r>
      <w:hyperlink r:id="rId21" w:tgtFrame="http://www.kremlin.ru/structure/additional/12">
        <w:r>
          <w:rPr>
            <w:rStyle w:val="-"/>
            <w:rFonts w:ascii="Times New Roman" w:hAnsi="Times New Roman"/>
            <w:sz w:val="28"/>
            <w:szCs w:val="28"/>
          </w:rPr>
          <w:t>http://www.kremlin.ru/structure/additional/12</w:t>
        </w:r>
      </w:hyperlink>
      <w:r>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2" w:tgtFrame="https://gossluzhba.gov.ru/anticorruption/spravki_bk">
        <w:r>
          <w:rPr>
            <w:rStyle w:val="-"/>
            <w:rFonts w:ascii="Times New Roman" w:hAnsi="Times New Roman"/>
            <w:sz w:val="28"/>
            <w:szCs w:val="28"/>
          </w:rPr>
          <w:t>https://gossluzhba.gov.ru/anticorruption/spravki_bk</w:t>
        </w:r>
      </w:hyperlink>
      <w:r>
        <w:rPr>
          <w:rFonts w:ascii="Times New Roman" w:hAnsi="Times New Roman"/>
          <w:sz w:val="28"/>
          <w:szCs w:val="28"/>
        </w:rPr>
        <w:t>).</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Pr>
          <w:rFonts w:ascii="Times New Roman" w:hAnsi="Times New Roman"/>
          <w:color w:val="1F497D"/>
          <w:sz w:val="28"/>
          <w:szCs w:val="28"/>
        </w:rPr>
        <w:t xml:space="preserve"> </w:t>
      </w:r>
      <w:r>
        <w:rPr>
          <w:rFonts w:ascii="Times New Roman" w:hAnsi="Times New Roman"/>
          <w:sz w:val="28"/>
          <w:szCs w:val="28"/>
        </w:rPr>
        <w:t>Наличие подписи на каждом листе (в пустой части страницы) не является нарушением.</w:t>
      </w:r>
      <w:r>
        <w:rPr>
          <w:rFonts w:ascii="Times New Roman" w:hAnsi="Times New Roman"/>
          <w:b/>
          <w:sz w:val="28"/>
          <w:szCs w:val="28"/>
        </w:rPr>
        <w:t xml:space="preserve"> </w:t>
      </w:r>
      <w:r>
        <w:rPr>
          <w:rFonts w:ascii="Times New Roman" w:hAnsi="Times New Roman"/>
          <w:sz w:val="28"/>
          <w:szCs w:val="28"/>
        </w:rPr>
        <w:t xml:space="preserve">Лицу, представляющему справки, рекомендуется распечатать, подписать и представить справки в течение одного дня (одной датой).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pPr>
        <w:pStyle w:val="ListParagraph"/>
        <w:ind w:left="0" w:firstLine="567"/>
        <w:rPr>
          <w:rFonts w:ascii="Times New Roman" w:hAnsi="Times New Roman"/>
          <w:sz w:val="28"/>
          <w:szCs w:val="28"/>
        </w:rPr>
      </w:pPr>
      <w:r>
        <w:rPr>
          <w:rFonts w:ascii="Times New Roman" w:hAnsi="Times New Roman"/>
          <w:sz w:val="28"/>
          <w:szCs w:val="28"/>
        </w:rPr>
        <w:t>При этом не допускаются ситуации, при которых дата печати справки, автоматически формируемая в правом нижнем углу каждого листа справки, будет ранее отчетной даты, указываемой на титульном листе справки, или позднее даты заверения достоверности и полноты на последнем листе справки.</w:t>
      </w:r>
    </w:p>
    <w:p>
      <w:pPr>
        <w:pStyle w:val="ListParagraph"/>
        <w:ind w:left="0" w:firstLine="567"/>
        <w:rPr>
          <w:rFonts w:ascii="Times New Roman" w:hAnsi="Times New Roman"/>
          <w:sz w:val="28"/>
          <w:szCs w:val="28"/>
        </w:rPr>
      </w:pPr>
      <w:r>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pPr>
        <w:pStyle w:val="ListParagraph"/>
        <w:ind w:left="0" w:firstLine="567"/>
        <w:rPr>
          <w:rFonts w:ascii="Times New Roman" w:hAnsi="Times New Roman"/>
          <w:sz w:val="28"/>
          <w:szCs w:val="28"/>
        </w:rPr>
      </w:pPr>
      <w:r>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pPr>
        <w:pStyle w:val="ListParagraph"/>
        <w:ind w:left="0" w:firstLine="567"/>
        <w:rPr>
          <w:rFonts w:ascii="Times New Roman" w:hAnsi="Times New Roman"/>
          <w:sz w:val="28"/>
          <w:szCs w:val="28"/>
        </w:rPr>
      </w:pPr>
      <w:r>
        <w:rPr>
          <w:rFonts w:ascii="Times New Roman" w:hAnsi="Times New Roman"/>
          <w:sz w:val="28"/>
          <w:szCs w:val="28"/>
        </w:rPr>
        <w:t xml:space="preserve">- для печати справок используется лазерный принтер, обеспечивающий качественную печать; </w:t>
      </w:r>
    </w:p>
    <w:p>
      <w:pPr>
        <w:pStyle w:val="ListParagraph"/>
        <w:ind w:left="0" w:firstLine="567"/>
        <w:rPr>
          <w:rFonts w:ascii="Times New Roman" w:hAnsi="Times New Roman"/>
          <w:sz w:val="28"/>
          <w:szCs w:val="28"/>
        </w:rPr>
      </w:pPr>
      <w:r>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pPr>
        <w:pStyle w:val="ListParagraph"/>
        <w:ind w:left="0" w:firstLine="567"/>
        <w:rPr>
          <w:rFonts w:ascii="Times New Roman" w:hAnsi="Times New Roman"/>
          <w:sz w:val="28"/>
          <w:szCs w:val="28"/>
        </w:rPr>
      </w:pPr>
      <w:r>
        <w:rPr>
          <w:rFonts w:ascii="Times New Roman" w:hAnsi="Times New Roman"/>
          <w:sz w:val="28"/>
          <w:szCs w:val="28"/>
        </w:rPr>
        <w:t>-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p>
    <w:p>
      <w:pPr>
        <w:pStyle w:val="ListParagraph"/>
        <w:ind w:left="0" w:firstLine="567"/>
        <w:rPr>
          <w:rFonts w:ascii="Times New Roman" w:hAnsi="Times New Roman"/>
          <w:sz w:val="28"/>
          <w:szCs w:val="28"/>
        </w:rPr>
      </w:pPr>
      <w:r>
        <w:rPr>
          <w:rFonts w:ascii="Times New Roman" w:hAnsi="Times New Roman"/>
          <w:sz w:val="28"/>
          <w:szCs w:val="28"/>
        </w:rPr>
        <w:t xml:space="preserve">- не допускаются рукописные правки.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Справки не следует прошивать и фиксировать скрепкой. </w:t>
      </w:r>
    </w:p>
    <w:p>
      <w:pPr>
        <w:pStyle w:val="ListParagraph"/>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Печатать справки рекомендуется только на одной стороне листа. </w:t>
      </w:r>
    </w:p>
    <w:p>
      <w:pPr>
        <w:pStyle w:val="ListParagraph"/>
        <w:numPr>
          <w:ilvl w:val="0"/>
          <w:numId w:val="1"/>
        </w:numPr>
        <w:tabs>
          <w:tab w:val="clear" w:pos="709"/>
          <w:tab w:val="left" w:pos="1134" w:leader="none"/>
        </w:tabs>
        <w:ind w:left="0" w:firstLine="567"/>
        <w:rPr>
          <w:rFonts w:ascii="Times New Roman" w:hAnsi="Times New Roman"/>
          <w:sz w:val="28"/>
          <w:szCs w:val="28"/>
        </w:rPr>
      </w:pPr>
      <w:r>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w:t>
      </w:r>
      <w:hyperlink r:id="rId23">
        <w:r>
          <w:rPr>
            <w:rStyle w:val="-"/>
            <w:rFonts w:ascii="Times New Roman" w:hAnsi="Times New Roman"/>
            <w:sz w:val="28"/>
            <w:szCs w:val="28"/>
          </w:rPr>
          <w:t>https://www.cbr.ru/currency_base/daily/</w:t>
        </w:r>
      </w:hyperlink>
      <w:r>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pPr>
        <w:pStyle w:val="ListParagraph"/>
        <w:tabs>
          <w:tab w:val="clear" w:pos="709"/>
          <w:tab w:val="left" w:pos="851" w:leader="none"/>
        </w:tabs>
        <w:ind w:left="0" w:hanging="0"/>
        <w:jc w:val="center"/>
        <w:rPr>
          <w:rFonts w:ascii="Times New Roman" w:hAnsi="Times New Roman"/>
          <w:b/>
          <w:sz w:val="28"/>
          <w:szCs w:val="28"/>
        </w:rPr>
      </w:pPr>
      <w:r>
        <w:rPr>
          <w:rFonts w:ascii="Times New Roman" w:hAnsi="Times New Roman"/>
          <w:b/>
          <w:sz w:val="28"/>
          <w:szCs w:val="28"/>
        </w:rPr>
      </w:r>
    </w:p>
    <w:p>
      <w:pPr>
        <w:pStyle w:val="ListParagraph"/>
        <w:tabs>
          <w:tab w:val="clear" w:pos="709"/>
          <w:tab w:val="left" w:pos="851" w:leader="none"/>
        </w:tabs>
        <w:ind w:left="0" w:hanging="0"/>
        <w:jc w:val="center"/>
        <w:rPr>
          <w:rFonts w:ascii="Times New Roman" w:hAnsi="Times New Roman"/>
          <w:b/>
          <w:sz w:val="28"/>
          <w:szCs w:val="28"/>
        </w:rPr>
      </w:pPr>
      <w:r>
        <w:rPr>
          <w:rFonts w:ascii="Times New Roman" w:hAnsi="Times New Roman"/>
          <w:b/>
          <w:sz w:val="28"/>
          <w:szCs w:val="28"/>
        </w:rPr>
        <w:t>ТИТУЛЬНЫЙ ЛИСТ</w:t>
      </w:r>
    </w:p>
    <w:p>
      <w:pPr>
        <w:pStyle w:val="ListParagraph"/>
        <w:tabs>
          <w:tab w:val="clear" w:pos="709"/>
          <w:tab w:val="left" w:pos="851" w:leader="none"/>
        </w:tabs>
        <w:ind w:left="0" w:firstLine="851"/>
        <w:jc w:val="center"/>
        <w:rPr>
          <w:rFonts w:ascii="Times New Roman" w:hAnsi="Times New Roman"/>
          <w:b/>
          <w:sz w:val="28"/>
          <w:szCs w:val="28"/>
        </w:rPr>
      </w:pPr>
      <w:r>
        <w:rPr>
          <w:rFonts w:ascii="Times New Roman" w:hAnsi="Times New Roman"/>
          <w:b/>
          <w:sz w:val="28"/>
          <w:szCs w:val="28"/>
        </w:rPr>
      </w:r>
    </w:p>
    <w:p>
      <w:pPr>
        <w:pStyle w:val="ListParagraph"/>
        <w:numPr>
          <w:ilvl w:val="0"/>
          <w:numId w:val="1"/>
        </w:numPr>
        <w:tabs>
          <w:tab w:val="clear" w:pos="709"/>
          <w:tab w:val="left" w:pos="567" w:leader="none"/>
        </w:tabs>
        <w:ind w:left="0" w:firstLine="567"/>
        <w:rPr>
          <w:rFonts w:ascii="Times New Roman" w:hAnsi="Times New Roman"/>
          <w:sz w:val="28"/>
          <w:szCs w:val="28"/>
        </w:rPr>
      </w:pPr>
      <w:r>
        <w:rPr>
          <w:rFonts w:ascii="Times New Roman" w:hAnsi="Times New Roman"/>
          <w:bCs/>
          <w:sz w:val="28"/>
          <w:szCs w:val="28"/>
        </w:rPr>
        <w:t>При заполнении титульного листа справки рекомендуется обратить внимание на следующее</w:t>
      </w:r>
      <w:r>
        <w:rPr>
          <w:rFonts w:ascii="Times New Roman" w:hAnsi="Times New Roman"/>
          <w:sz w:val="28"/>
          <w:szCs w:val="28"/>
        </w:rPr>
        <w:t>:</w:t>
      </w:r>
    </w:p>
    <w:p>
      <w:pPr>
        <w:pStyle w:val="Normal"/>
        <w:tabs>
          <w:tab w:val="clear" w:pos="709"/>
          <w:tab w:val="left" w:pos="567" w:leader="none"/>
        </w:tabs>
        <w:ind w:firstLine="567"/>
        <w:rPr>
          <w:rFonts w:ascii="Times New Roman" w:hAnsi="Times New Roman"/>
          <w:sz w:val="28"/>
          <w:szCs w:val="28"/>
        </w:rPr>
      </w:pPr>
      <w:r>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(супруга) и несовершеннолетнего ребенка </w:t>
      </w:r>
      <w:r>
        <w:rPr>
          <w:rFonts w:ascii="Times New Roman" w:hAnsi="Times New Roman"/>
          <w:bCs/>
          <w:sz w:val="28"/>
          <w:szCs w:val="28"/>
        </w:rPr>
        <w:t>указываются (в именительном падеж</w:t>
      </w:r>
      <w:r>
        <w:rPr>
          <w:rFonts w:ascii="Times New Roman" w:hAnsi="Times New Roman"/>
          <w:color w:val="1F497D"/>
          <w:sz w:val="28"/>
          <w:szCs w:val="28"/>
        </w:rPr>
        <w:t>е</w:t>
      </w:r>
      <w:r>
        <w:rPr>
          <w:rFonts w:ascii="Times New Roman" w:hAnsi="Times New Roman"/>
          <w:bCs/>
          <w:sz w:val="28"/>
          <w:szCs w:val="28"/>
        </w:rPr>
        <w:t xml:space="preserve">) </w:t>
      </w:r>
      <w:r>
        <w:rPr>
          <w:rStyle w:val="Style13"/>
          <w:rFonts w:cs="Times New Roman" w:ascii="Times New Roman" w:hAnsi="Times New Roman"/>
          <w:sz w:val="28"/>
          <w:szCs w:val="28"/>
        </w:rPr>
        <w:t>полностью, без</w:t>
      </w:r>
      <w:r>
        <w:rPr>
          <w:rStyle w:val="Style13"/>
          <w:rFonts w:cs="Times New Roman" w:ascii="Times New Roman" w:hAnsi="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Pr>
          <w:rFonts w:ascii="Times New Roman" w:hAnsi="Times New Roman"/>
          <w:sz w:val="28"/>
          <w:szCs w:val="28"/>
        </w:rPr>
        <w:t>удостоверяющего личность документа указываются по состоянию на дату представления справки)</w:t>
      </w:r>
      <w:r>
        <w:rPr>
          <w:rStyle w:val="Style13"/>
          <w:rFonts w:cs="Times New Roman" w:ascii="Times New Roman" w:hAnsi="Times New Roman"/>
          <w:color w:val="000000"/>
          <w:sz w:val="28"/>
          <w:szCs w:val="28"/>
        </w:rPr>
        <w:t xml:space="preserve">. </w:t>
      </w:r>
      <w:r>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pPr>
        <w:pStyle w:val="Normal"/>
        <w:tabs>
          <w:tab w:val="clear" w:pos="709"/>
          <w:tab w:val="left" w:pos="567" w:leader="none"/>
        </w:tabs>
        <w:ind w:firstLine="567"/>
        <w:rPr>
          <w:rFonts w:ascii="Times New Roman" w:hAnsi="Times New Roman"/>
          <w:bCs/>
          <w:sz w:val="28"/>
          <w:szCs w:val="28"/>
        </w:rPr>
      </w:pPr>
      <w:r>
        <w:rPr>
          <w:rFonts w:ascii="Times New Roman" w:hAnsi="Times New Roman"/>
          <w:bCs/>
          <w:sz w:val="28"/>
          <w:szCs w:val="28"/>
        </w:rPr>
        <w:t>2) дата рождения (год рождения) указывается</w:t>
      </w:r>
      <w:r>
        <w:rPr>
          <w:rStyle w:val="Style13"/>
          <w:rFonts w:cs="Times New Roman" w:ascii="Times New Roman" w:hAnsi="Times New Roman"/>
          <w:color w:val="000000"/>
          <w:sz w:val="28"/>
          <w:szCs w:val="28"/>
        </w:rPr>
        <w:t xml:space="preserve"> в соответствии с записью в документе, удостоверяющем личность</w:t>
      </w:r>
      <w:r>
        <w:rPr>
          <w:rFonts w:ascii="Times New Roman" w:hAnsi="Times New Roman"/>
          <w:bCs/>
          <w:sz w:val="28"/>
          <w:szCs w:val="28"/>
        </w:rPr>
        <w:t>;</w:t>
      </w:r>
    </w:p>
    <w:p>
      <w:pPr>
        <w:pStyle w:val="Normal"/>
        <w:tabs>
          <w:tab w:val="clear" w:pos="709"/>
          <w:tab w:val="left" w:pos="567" w:leader="none"/>
        </w:tabs>
        <w:ind w:firstLine="567"/>
        <w:rPr>
          <w:rFonts w:ascii="Times New Roman" w:hAnsi="Times New Roman"/>
          <w:bCs/>
          <w:sz w:val="28"/>
          <w:szCs w:val="28"/>
        </w:rPr>
      </w:pPr>
      <w:r>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pPr>
        <w:pStyle w:val="ConsPlusNonformat"/>
        <w:tabs>
          <w:tab w:val="clear" w:pos="709"/>
          <w:tab w:val="left" w:pos="567" w:leader="none"/>
        </w:tabs>
        <w:ind w:firstLine="567"/>
        <w:rPr>
          <w:rStyle w:val="Style13"/>
          <w:rFonts w:ascii="Times New Roman" w:hAnsi="Times New Roman" w:cs="Times New Roman"/>
          <w:color w:val="000000"/>
          <w:sz w:val="28"/>
          <w:szCs w:val="28"/>
        </w:rPr>
      </w:pPr>
      <w:r>
        <w:rPr>
          <w:rStyle w:val="Style13"/>
          <w:rFonts w:cs="Times New Roman" w:ascii="Times New Roman" w:hAnsi="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Pr>
          <w:rFonts w:cs="Times New Roman" w:ascii="Times New Roman" w:hAnsi="Times New Roman"/>
          <w:sz w:val="28"/>
          <w:szCs w:val="28"/>
        </w:rPr>
        <w:t>(с 1 января по 1 (30) апреля года, следующего за отчетным)</w:t>
      </w:r>
      <w:r>
        <w:rPr>
          <w:rStyle w:val="Style13"/>
          <w:rFonts w:cs="Times New Roman" w:ascii="Times New Roman" w:hAnsi="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pPr>
        <w:pStyle w:val="ConsPlusNonformat"/>
        <w:tabs>
          <w:tab w:val="clear" w:pos="709"/>
          <w:tab w:val="left" w:pos="567" w:leader="none"/>
        </w:tabs>
        <w:ind w:firstLine="567"/>
        <w:rPr>
          <w:rStyle w:val="Style13"/>
          <w:rFonts w:ascii="Times New Roman" w:hAnsi="Times New Roman" w:cs="Times New Roman"/>
          <w:sz w:val="28"/>
          <w:szCs w:val="28"/>
        </w:rPr>
      </w:pPr>
      <w:r>
        <w:rPr>
          <w:rStyle w:val="Style13"/>
          <w:rFonts w:cs="Times New Roman" w:ascii="Times New Roman" w:hAnsi="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Pr>
          <w:rFonts w:cs="Times New Roman" w:ascii="Times New Roman" w:hAnsi="Times New Roman"/>
          <w:sz w:val="28"/>
          <w:szCs w:val="28"/>
        </w:rPr>
        <w:t>или "находится на домашнем воспитании".</w:t>
      </w:r>
    </w:p>
    <w:p>
      <w:pPr>
        <w:pStyle w:val="ConsPlusNonformat"/>
        <w:tabs>
          <w:tab w:val="clear" w:pos="709"/>
          <w:tab w:val="left" w:pos="567" w:leader="none"/>
        </w:tabs>
        <w:ind w:firstLine="567"/>
        <w:rPr>
          <w:rStyle w:val="Style13"/>
          <w:rFonts w:ascii="Times New Roman" w:hAnsi="Times New Roman" w:cs="Times New Roman"/>
          <w:sz w:val="28"/>
          <w:szCs w:val="28"/>
        </w:rPr>
      </w:pPr>
      <w:r>
        <w:rPr>
          <w:rStyle w:val="Style13"/>
          <w:rFonts w:cs="Times New Roman" w:ascii="Times New Roman" w:hAnsi="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Pr>
          <w:rFonts w:cs="Times New Roman" w:ascii="Times New Roman" w:hAnsi="Times New Roman"/>
          <w:sz w:val="28"/>
          <w:szCs w:val="28"/>
        </w:rPr>
        <w:t xml:space="preserve"> или "домохозяйка" ("домохозяин")</w:t>
      </w:r>
      <w:r>
        <w:rPr>
          <w:rStyle w:val="Style13"/>
          <w:rFonts w:cs="Times New Roman" w:ascii="Times New Roman" w:hAnsi="Times New Roman"/>
          <w:sz w:val="28"/>
          <w:szCs w:val="28"/>
        </w:rPr>
        <w:t>.</w:t>
      </w:r>
    </w:p>
    <w:p>
      <w:pPr>
        <w:pStyle w:val="ConsPlusNonformat"/>
        <w:tabs>
          <w:tab w:val="clear" w:pos="709"/>
          <w:tab w:val="left" w:pos="567" w:leader="none"/>
        </w:tabs>
        <w:ind w:firstLine="567"/>
        <w:rPr>
          <w:rFonts w:ascii="Times New Roman" w:hAnsi="Times New Roman" w:cs="Times New Roman"/>
          <w:sz w:val="28"/>
          <w:szCs w:val="28"/>
        </w:rPr>
      </w:pPr>
      <w:r>
        <w:rPr>
          <w:rStyle w:val="Style13"/>
          <w:rFonts w:cs="Times New Roman" w:ascii="Times New Roman" w:hAnsi="Times New Roman"/>
          <w:sz w:val="28"/>
          <w:szCs w:val="28"/>
        </w:rPr>
        <w:t xml:space="preserve">Лицу, осуществляющему уход за нетрудоспособными гражданами, в рассматриваемой графе рекомендуется указывать </w:t>
      </w:r>
      <w:r>
        <w:rPr>
          <w:rFonts w:cs="Times New Roman" w:ascii="Times New Roman" w:hAnsi="Times New Roman"/>
          <w:sz w:val="28"/>
          <w:szCs w:val="28"/>
        </w:rPr>
        <w:t>"</w:t>
      </w:r>
      <w:r>
        <w:rPr>
          <w:rStyle w:val="Style13"/>
          <w:rFonts w:cs="Times New Roman" w:ascii="Times New Roman" w:hAnsi="Times New Roman"/>
          <w:sz w:val="28"/>
          <w:szCs w:val="28"/>
        </w:rPr>
        <w:t>осуществляющий уход за нетрудоспособным гражданином</w:t>
      </w:r>
      <w:r>
        <w:rPr>
          <w:rFonts w:cs="Times New Roman" w:ascii="Times New Roman" w:hAnsi="Times New Roman"/>
          <w:sz w:val="28"/>
          <w:szCs w:val="28"/>
        </w:rPr>
        <w:t>".</w:t>
      </w:r>
    </w:p>
    <w:p>
      <w:pPr>
        <w:pStyle w:val="ConsPlusNonformat"/>
        <w:tabs>
          <w:tab w:val="clear" w:pos="709"/>
          <w:tab w:val="left" w:pos="567" w:leader="none"/>
        </w:tabs>
        <w:ind w:firstLine="567"/>
        <w:rPr>
          <w:rFonts w:ascii="Times New Roman" w:hAnsi="Times New Roman" w:cs="Times New Roman"/>
          <w:sz w:val="28"/>
          <w:szCs w:val="28"/>
        </w:rPr>
      </w:pPr>
      <w:r>
        <w:rPr>
          <w:rFonts w:cs="Times New Roman" w:ascii="Times New Roman" w:hAnsi="Times New Roman"/>
          <w:sz w:val="28"/>
          <w:szCs w:val="28"/>
        </w:rPr>
        <w:t>В случае прохождения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pPr>
        <w:pStyle w:val="ConsPlusNonformat"/>
        <w:tabs>
          <w:tab w:val="clear" w:pos="709"/>
          <w:tab w:val="left" w:pos="567" w:leader="none"/>
        </w:tabs>
        <w:ind w:firstLine="567"/>
        <w:rPr>
          <w:rFonts w:ascii="Times New Roman" w:hAnsi="Times New Roman" w:cs="Times New Roman"/>
          <w:sz w:val="28"/>
          <w:szCs w:val="28"/>
        </w:rPr>
      </w:pPr>
      <w:r>
        <w:rPr>
          <w:rFonts w:cs="Times New Roman" w:ascii="Times New Roman" w:hAnsi="Times New Roman"/>
          <w:sz w:val="28"/>
          <w:szCs w:val="28"/>
        </w:rPr>
        <w:t>Представление депутатом представительного органа муниципального образования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pPr>
        <w:pStyle w:val="ConsPlusNonformat"/>
        <w:tabs>
          <w:tab w:val="clear" w:pos="709"/>
          <w:tab w:val="left" w:pos="567" w:leader="none"/>
        </w:tabs>
        <w:ind w:firstLine="567"/>
        <w:rPr>
          <w:rFonts w:ascii="Times New Roman" w:hAnsi="Times New Roman" w:cs="Times New Roman"/>
          <w:sz w:val="28"/>
          <w:szCs w:val="28"/>
        </w:rPr>
      </w:pPr>
      <w:r>
        <w:rPr>
          <w:rStyle w:val="Style13"/>
          <w:rFonts w:cs="Times New Roman" w:ascii="Times New Roman" w:hAnsi="Times New Roman"/>
          <w:sz w:val="28"/>
          <w:szCs w:val="28"/>
        </w:rPr>
        <w:t xml:space="preserve">5) при наличии на отчетную дату нескольких мест работы на титульном листе справки </w:t>
      </w:r>
      <w:r>
        <w:rPr>
          <w:rFonts w:cs="Times New Roman" w:ascii="Times New Roman" w:hAnsi="Times New Roman"/>
          <w:sz w:val="28"/>
          <w:szCs w:val="28"/>
        </w:rPr>
        <w:t>обязательно</w:t>
      </w:r>
      <w:r>
        <w:rPr>
          <w:rStyle w:val="Style13"/>
          <w:rFonts w:cs="Times New Roman" w:ascii="Times New Roman" w:hAnsi="Times New Roman"/>
          <w:sz w:val="28"/>
          <w:szCs w:val="28"/>
        </w:rPr>
        <w:t xml:space="preserve"> указывается основное место работы, т.е. </w:t>
      </w:r>
      <w:r>
        <w:rPr>
          <w:rFonts w:cs="Times New Roman" w:ascii="Times New Roman" w:hAnsi="Times New Roman"/>
          <w:sz w:val="28"/>
          <w:szCs w:val="28"/>
        </w:rPr>
        <w:t>организация, в которой находится трудовая книжка. При этом рекомендуется указать и иные места работы.</w:t>
      </w:r>
    </w:p>
    <w:p>
      <w:pPr>
        <w:pStyle w:val="ConsPlusNonformat"/>
        <w:tabs>
          <w:tab w:val="clear" w:pos="709"/>
          <w:tab w:val="left" w:pos="567" w:leader="none"/>
        </w:tabs>
        <w:ind w:firstLine="567"/>
        <w:rPr>
          <w:rFonts w:ascii="Times New Roman" w:hAnsi="Times New Roman" w:cs="Times New Roman"/>
          <w:sz w:val="28"/>
          <w:szCs w:val="28"/>
        </w:rPr>
      </w:pPr>
      <w:r>
        <w:rPr>
          <w:rFonts w:cs="Times New Roman" w:ascii="Times New Roman" w:hAnsi="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pPr>
        <w:pStyle w:val="ConsPlusNonformat"/>
        <w:tabs>
          <w:tab w:val="clear" w:pos="709"/>
          <w:tab w:val="left" w:pos="567" w:leader="none"/>
        </w:tabs>
        <w:ind w:firstLine="567"/>
        <w:rPr>
          <w:rFonts w:ascii="Times New Roman" w:hAnsi="Times New Roman" w:cs="Times New Roman"/>
          <w:sz w:val="28"/>
          <w:szCs w:val="28"/>
        </w:rPr>
      </w:pPr>
      <w:r>
        <w:rPr>
          <w:rFonts w:cs="Times New Roman" w:ascii="Times New Roman" w:hAnsi="Times New Roman"/>
          <w:sz w:val="28"/>
          <w:szCs w:val="28"/>
        </w:rPr>
        <w:t>При заполнении справки лица, зарегистрированного в качестве индивидуального предпринимателя, рекомендуется указывать соответствующий статус.</w:t>
      </w:r>
    </w:p>
    <w:p>
      <w:pPr>
        <w:pStyle w:val="ConsPlusNonformat"/>
        <w:tabs>
          <w:tab w:val="clear" w:pos="709"/>
          <w:tab w:val="left" w:pos="567" w:leader="none"/>
        </w:tabs>
        <w:ind w:firstLine="567"/>
        <w:rPr>
          <w:rFonts w:ascii="Times New Roman" w:hAnsi="Times New Roman" w:cs="Times New Roman"/>
          <w:sz w:val="28"/>
          <w:szCs w:val="28"/>
        </w:rPr>
      </w:pPr>
      <w:r>
        <w:rPr>
          <w:rFonts w:cs="Times New Roman" w:ascii="Times New Roman" w:hAnsi="Times New Roman"/>
          <w:sz w:val="28"/>
          <w:szCs w:val="28"/>
        </w:rPr>
        <w:t>При заполнении справки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pPr>
        <w:pStyle w:val="ConsPlusNonformat"/>
        <w:tabs>
          <w:tab w:val="clear" w:pos="709"/>
          <w:tab w:val="left" w:pos="567" w:leader="none"/>
        </w:tabs>
        <w:ind w:firstLine="567"/>
        <w:rPr>
          <w:rFonts w:ascii="Times New Roman" w:hAnsi="Times New Roman" w:cs="Times New Roman"/>
          <w:sz w:val="28"/>
          <w:szCs w:val="28"/>
        </w:rPr>
      </w:pPr>
      <w:r>
        <w:rPr>
          <w:rStyle w:val="Style13"/>
          <w:rFonts w:cs="Times New Roman" w:ascii="Times New Roman" w:hAnsi="Times New Roman"/>
          <w:color w:val="000000"/>
          <w:sz w:val="28"/>
          <w:szCs w:val="28"/>
        </w:rPr>
        <w:t>6) а</w:t>
      </w:r>
      <w:r>
        <w:rPr>
          <w:rFonts w:cs="Times New Roman" w:ascii="Times New Roman" w:hAnsi="Times New Roman"/>
          <w:bCs/>
          <w:sz w:val="28"/>
          <w:szCs w:val="28"/>
        </w:rPr>
        <w:t>дрес места регистрации у</w:t>
      </w:r>
      <w:r>
        <w:rPr>
          <w:rFonts w:cs="Times New Roman" w:ascii="Times New Roman" w:hAnsi="Times New Roman"/>
          <w:sz w:val="28"/>
          <w:szCs w:val="28"/>
        </w:rPr>
        <w:t xml:space="preserve">казывается </w:t>
      </w:r>
      <w:r>
        <w:rPr>
          <w:rStyle w:val="Style13"/>
          <w:rFonts w:cs="Times New Roman" w:ascii="Times New Roman" w:hAnsi="Times New Roman"/>
          <w:sz w:val="28"/>
          <w:szCs w:val="28"/>
        </w:rPr>
        <w:t>по состоянию на дату представления справки</w:t>
      </w:r>
      <w:r>
        <w:rPr>
          <w:rStyle w:val="Style13"/>
          <w:rFonts w:cs="Times New Roman" w:ascii="Times New Roman" w:hAnsi="Times New Roman"/>
          <w:color w:val="000000"/>
          <w:sz w:val="28"/>
          <w:szCs w:val="28"/>
        </w:rPr>
        <w:t xml:space="preserve"> </w:t>
      </w:r>
      <w:r>
        <w:rPr>
          <w:rFonts w:cs="Times New Roman" w:ascii="Times New Roman" w:hAnsi="Times New Roman"/>
          <w:sz w:val="28"/>
          <w:szCs w:val="28"/>
        </w:rPr>
        <w:t>на основании записи в паспорте</w:t>
      </w:r>
      <w:r>
        <w:rPr>
          <w:rStyle w:val="Style13"/>
          <w:rFonts w:cs="Times New Roman" w:ascii="Times New Roman" w:hAnsi="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Pr>
          <w:rFonts w:cs="Times New Roman" w:ascii="Times New Roman" w:hAnsi="Times New Roman"/>
          <w:sz w:val="28"/>
          <w:szCs w:val="28"/>
        </w:rPr>
        <w:t>. При наличии временной регистрации ее адрес указывается в СПО "Справки БК" - в графе "Доп.информация".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"Доп.информация" указывается адрес фактического проживания;</w:t>
      </w:r>
    </w:p>
    <w:p>
      <w:pPr>
        <w:pStyle w:val="ConsPlusNonformat"/>
        <w:tabs>
          <w:tab w:val="clear" w:pos="709"/>
          <w:tab w:val="left" w:pos="567" w:leader="none"/>
        </w:tabs>
        <w:ind w:firstLine="567"/>
        <w:rPr>
          <w:rFonts w:ascii="Times New Roman" w:hAnsi="Times New Roman" w:cs="Times New Roman"/>
          <w:sz w:val="28"/>
          <w:szCs w:val="28"/>
        </w:rPr>
      </w:pPr>
      <w:r>
        <w:rPr>
          <w:rFonts w:cs="Times New Roman" w:ascii="Times New Roman" w:hAnsi="Times New Roman"/>
          <w:sz w:val="28"/>
          <w:szCs w:val="28"/>
        </w:rPr>
        <w:t xml:space="preserve">7) отчетный период и отчетная дата, которые указываются в соответствии с нормативными правовыми актами Российской Федерации, которыми для различных категорий граждан и служащих (работников) определяются соответствующий отчетный период и отчетная дата (см., например, пункт 19 настоящих Методических рекомендаций). </w:t>
      </w:r>
    </w:p>
    <w:p>
      <w:pPr>
        <w:pStyle w:val="Normal"/>
        <w:rPr>
          <w:rFonts w:ascii="Times New Roman" w:hAnsi="Times New Roman"/>
          <w:sz w:val="28"/>
          <w:szCs w:val="28"/>
        </w:rPr>
      </w:pPr>
      <w:r>
        <w:rPr>
          <w:rFonts w:ascii="Times New Roman" w:hAnsi="Times New Roman"/>
          <w:sz w:val="28"/>
          <w:szCs w:val="28"/>
        </w:rPr>
      </w:r>
    </w:p>
    <w:p>
      <w:pPr>
        <w:pStyle w:val="Normal"/>
        <w:ind w:hanging="0"/>
        <w:jc w:val="center"/>
        <w:rPr>
          <w:rFonts w:ascii="Times New Roman" w:hAnsi="Times New Roman"/>
          <w:b/>
          <w:sz w:val="28"/>
          <w:szCs w:val="28"/>
        </w:rPr>
      </w:pPr>
      <w:r>
        <w:rPr>
          <w:rFonts w:ascii="Times New Roman" w:hAnsi="Times New Roman"/>
          <w:b/>
          <w:sz w:val="28"/>
          <w:szCs w:val="28"/>
        </w:rPr>
        <w:t>РАЗДЕЛ 1. СВЕДЕНИЯ О ДОХОДАХ</w:t>
      </w:r>
    </w:p>
    <w:p>
      <w:pPr>
        <w:pStyle w:val="Normal"/>
        <w:ind w:firstLine="851"/>
        <w:jc w:val="center"/>
        <w:rPr>
          <w:rFonts w:ascii="Times New Roman" w:hAnsi="Times New Roman"/>
          <w:b/>
          <w:sz w:val="28"/>
          <w:szCs w:val="28"/>
        </w:rPr>
      </w:pPr>
      <w:r>
        <w:rPr>
          <w:rFonts w:ascii="Times New Roman" w:hAnsi="Times New Roman"/>
          <w:b/>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определенного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pPr>
        <w:pStyle w:val="ListParagraph"/>
        <w:numPr>
          <w:ilvl w:val="0"/>
          <w:numId w:val="1"/>
        </w:numPr>
        <w:ind w:left="0" w:firstLine="709"/>
        <w:rPr>
          <w:rFonts w:ascii="Times New Roman" w:hAnsi="Times New Roman"/>
          <w:sz w:val="28"/>
          <w:szCs w:val="28"/>
        </w:rPr>
      </w:pPr>
      <w:r>
        <w:rPr>
          <w:rFonts w:eastAsia="Times New Roman" w:ascii="Times New Roman" w:hAnsi="Times New Roman"/>
          <w:sz w:val="28"/>
          <w:szCs w:val="28"/>
          <w:lang w:eastAsia="ru-RU"/>
        </w:rPr>
        <w:t>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разделе справки служащего (работника)).</w:t>
      </w:r>
    </w:p>
    <w:p>
      <w:pPr>
        <w:pStyle w:val="ListParagraph"/>
        <w:tabs>
          <w:tab w:val="clear" w:pos="709"/>
          <w:tab w:val="left" w:pos="1134" w:leader="none"/>
        </w:tabs>
        <w:ind w:left="0" w:firstLine="567"/>
        <w:rPr>
          <w:rFonts w:ascii="Times New Roman" w:hAnsi="Times New Roman"/>
          <w:b/>
          <w:sz w:val="28"/>
          <w:szCs w:val="28"/>
        </w:rPr>
      </w:pPr>
      <w:r>
        <w:rPr>
          <w:rFonts w:ascii="Times New Roman" w:hAnsi="Times New Roman"/>
          <w:b/>
          <w:sz w:val="28"/>
          <w:szCs w:val="28"/>
        </w:rPr>
        <w:t>Доход по основному месту работы</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о доходах и суммах налога физического лица, выдаваемой по месту службы (работы) (графа "Общая сумма дохода"). Если по основному месту работы получен доход, который не включен в Справку о доходах и суммах налога физического лица, он подлежит указанию в строке </w:t>
      </w:r>
      <w:r>
        <w:rPr>
          <w:rFonts w:ascii="Times New Roman" w:hAnsi="Times New Roman"/>
          <w:b/>
          <w:sz w:val="28"/>
          <w:szCs w:val="28"/>
        </w:rPr>
        <w:t>"Иные доходы"</w:t>
      </w:r>
      <w:r>
        <w:rPr>
          <w:rFonts w:ascii="Times New Roman" w:hAnsi="Times New Roman"/>
          <w:sz w:val="28"/>
          <w:szCs w:val="28"/>
        </w:rPr>
        <w:t xml:space="preserve">. </w:t>
      </w:r>
    </w:p>
    <w:p>
      <w:pPr>
        <w:pStyle w:val="Normal"/>
        <w:ind w:firstLine="567"/>
        <w:rPr>
          <w:rFonts w:ascii="Times New Roman" w:hAnsi="Times New Roman"/>
          <w:sz w:val="28"/>
          <w:szCs w:val="28"/>
        </w:rPr>
      </w:pPr>
      <w:r>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Справке о доходах и суммах налога физического лица, отличаются, и приложить их к справке.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Pr>
          <w:rFonts w:ascii="Times New Roman" w:hAnsi="Times New Roman"/>
          <w:b/>
          <w:sz w:val="28"/>
        </w:rPr>
        <w:t>"Иные доходы"</w:t>
      </w:r>
      <w:r>
        <w:rPr>
          <w:rFonts w:ascii="Times New Roman" w:hAnsi="Times New Roman"/>
          <w:sz w:val="28"/>
          <w:szCs w:val="28"/>
        </w:rPr>
        <w:t>. При этом в графе "Вид дохода" указывается предыдущее место работы.</w:t>
      </w:r>
    </w:p>
    <w:p>
      <w:pPr>
        <w:pStyle w:val="ListParagraph"/>
        <w:ind w:left="0" w:firstLine="567"/>
        <w:rPr>
          <w:rFonts w:ascii="Times New Roman" w:hAnsi="Times New Roman"/>
          <w:b/>
          <w:sz w:val="28"/>
          <w:szCs w:val="28"/>
        </w:rPr>
      </w:pPr>
      <w:r>
        <w:rPr>
          <w:rFonts w:ascii="Times New Roman" w:hAnsi="Times New Roman"/>
          <w:b/>
          <w:sz w:val="28"/>
          <w:szCs w:val="28"/>
        </w:rPr>
        <w:t>Особенности заполнения данной графы отдельными категориями лиц</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pPr>
        <w:pStyle w:val="Normal"/>
        <w:ind w:firstLine="567"/>
        <w:rPr>
          <w:rFonts w:ascii="Times New Roman" w:hAnsi="Times New Roman"/>
          <w:sz w:val="28"/>
          <w:szCs w:val="28"/>
        </w:rPr>
      </w:pPr>
      <w:r>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pPr>
        <w:pStyle w:val="Normal"/>
        <w:ind w:firstLine="567"/>
        <w:rPr>
          <w:rFonts w:ascii="Times New Roman" w:hAnsi="Times New Roman"/>
          <w:sz w:val="28"/>
          <w:szCs w:val="28"/>
        </w:rPr>
      </w:pPr>
      <w:r>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pPr>
        <w:pStyle w:val="Normal"/>
        <w:ind w:firstLine="567"/>
        <w:rPr>
          <w:rFonts w:ascii="Times New Roman" w:hAnsi="Times New Roman"/>
          <w:sz w:val="28"/>
          <w:szCs w:val="28"/>
        </w:rPr>
      </w:pPr>
      <w:r>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pPr>
        <w:pStyle w:val="Normal"/>
        <w:ind w:firstLine="567"/>
        <w:rPr>
          <w:rFonts w:ascii="Times New Roman" w:hAnsi="Times New Roman"/>
          <w:sz w:val="28"/>
          <w:szCs w:val="28"/>
        </w:rPr>
      </w:pPr>
      <w:r>
        <w:rPr>
          <w:rFonts w:ascii="Times New Roman" w:hAnsi="Times New Roman"/>
          <w:sz w:val="28"/>
          <w:szCs w:val="28"/>
        </w:rPr>
        <w:t xml:space="preserve">4) при применении автоматизированной упрощенной системы налогообложения (АвтоУСН) в качестве "дохода"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br/>
        <w:t xml:space="preserve">от предпринимательской деятельности, полученных им или членами его семьи, </w:t>
        <w:br/>
        <w:t>и приложить их к справке.</w:t>
      </w:r>
    </w:p>
    <w:p>
      <w:pPr>
        <w:pStyle w:val="Normal"/>
        <w:ind w:firstLine="567"/>
        <w:rPr>
          <w:rFonts w:ascii="Times New Roman" w:hAnsi="Times New Roman"/>
          <w:sz w:val="28"/>
          <w:szCs w:val="28"/>
        </w:rPr>
      </w:pPr>
      <w:r>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Pr>
          <w:rFonts w:ascii="Times New Roman" w:hAnsi="Times New Roman"/>
          <w:b/>
          <w:sz w:val="28"/>
          <w:szCs w:val="28"/>
        </w:rPr>
        <w:t xml:space="preserve">"Доход по основному месту работы" </w:t>
      </w:r>
      <w:r>
        <w:rPr>
          <w:rFonts w:ascii="Times New Roman" w:hAnsi="Times New Roman"/>
          <w:sz w:val="28"/>
          <w:szCs w:val="28"/>
        </w:rPr>
        <w:t>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строке</w:t>
      </w:r>
      <w:r>
        <w:rPr>
          <w:rFonts w:ascii="Times New Roman" w:hAnsi="Times New Roman"/>
          <w:b/>
          <w:sz w:val="28"/>
          <w:szCs w:val="28"/>
        </w:rPr>
        <w:t xml:space="preserve"> "Иные доходы" </w:t>
      </w:r>
      <w:r>
        <w:rPr>
          <w:rFonts w:ascii="Times New Roman" w:hAnsi="Times New Roman"/>
          <w:sz w:val="28"/>
          <w:szCs w:val="28"/>
        </w:rPr>
        <w:t>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 указанием применяемого специального налогового режима).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письме Минтруда России от 19 апреля 2021 г. № 28-6/10/В-4623 (</w:t>
      </w:r>
      <w:hyperlink r:id="rId24" w:tgtFrame="https://mintrud.gov.ru/docs/1872">
        <w:r>
          <w:rPr>
            <w:rStyle w:val="-"/>
            <w:rFonts w:ascii="Times New Roman" w:hAnsi="Times New Roman"/>
            <w:sz w:val="28"/>
            <w:szCs w:val="28"/>
          </w:rPr>
          <w:t>https://mintrud.gov.ru/docs/1872</w:t>
        </w:r>
      </w:hyperlink>
      <w:r>
        <w:rPr>
          <w:rFonts w:ascii="Times New Roman" w:hAnsi="Times New Roman"/>
          <w:sz w:val="28"/>
          <w:szCs w:val="28"/>
        </w:rPr>
        <w:t xml:space="preserve">). </w:t>
      </w:r>
    </w:p>
    <w:p>
      <w:pPr>
        <w:pStyle w:val="ListParagraph"/>
        <w:tabs>
          <w:tab w:val="clear" w:pos="709"/>
          <w:tab w:val="left" w:pos="1276" w:leader="none"/>
        </w:tabs>
        <w:ind w:left="0" w:firstLine="567"/>
        <w:rPr>
          <w:rFonts w:ascii="Times New Roman" w:hAnsi="Times New Roman"/>
          <w:b/>
          <w:sz w:val="28"/>
          <w:szCs w:val="28"/>
        </w:rPr>
      </w:pPr>
      <w:r>
        <w:rPr>
          <w:rFonts w:ascii="Times New Roman" w:hAnsi="Times New Roman"/>
          <w:b/>
          <w:sz w:val="28"/>
          <w:szCs w:val="28"/>
        </w:rPr>
        <w:t>Доход от педагогической и научной деятельности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дохода от педагогической деятельности (сумма дохода, содержащаяся в Справке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строке </w:t>
      </w:r>
      <w:r>
        <w:rPr>
          <w:rFonts w:ascii="Times New Roman" w:hAnsi="Times New Roman"/>
          <w:b/>
          <w:sz w:val="28"/>
        </w:rPr>
        <w:t>"Доход по основному месту работы"</w:t>
      </w:r>
      <w:r>
        <w:rPr>
          <w:rFonts w:ascii="Times New Roman" w:hAnsi="Times New Roman"/>
          <w:sz w:val="28"/>
          <w:szCs w:val="28"/>
        </w:rPr>
        <w:t xml:space="preserve">, а не в строке </w:t>
      </w:r>
      <w:r>
        <w:rPr>
          <w:rFonts w:ascii="Times New Roman" w:hAnsi="Times New Roman"/>
          <w:b/>
          <w:sz w:val="28"/>
        </w:rPr>
        <w:t>"Доход от педагогической и научной деятельности"</w:t>
      </w:r>
      <w:r>
        <w:rPr>
          <w:rFonts w:ascii="Times New Roman" w:hAnsi="Times New Roman"/>
          <w:sz w:val="28"/>
          <w:szCs w:val="28"/>
        </w:rPr>
        <w:t>.</w:t>
      </w:r>
    </w:p>
    <w:p>
      <w:pPr>
        <w:pStyle w:val="ListParagraph"/>
        <w:ind w:left="0" w:firstLine="567"/>
        <w:rPr>
          <w:rFonts w:ascii="Times New Roman" w:hAnsi="Times New Roman"/>
          <w:b/>
          <w:sz w:val="28"/>
          <w:szCs w:val="28"/>
        </w:rPr>
      </w:pPr>
      <w:r>
        <w:rPr>
          <w:rFonts w:ascii="Times New Roman" w:hAnsi="Times New Roman"/>
          <w:b/>
          <w:sz w:val="28"/>
          <w:szCs w:val="28"/>
        </w:rPr>
        <w:t>Доход от иной творческой деятельности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pPr>
        <w:pStyle w:val="Default"/>
        <w:numPr>
          <w:ilvl w:val="0"/>
          <w:numId w:val="1"/>
        </w:numPr>
        <w:ind w:left="0" w:firstLine="567"/>
        <w:rPr>
          <w:color w:val="auto"/>
          <w:sz w:val="28"/>
          <w:szCs w:val="28"/>
        </w:rPr>
      </w:pPr>
      <w:r>
        <w:rPr>
          <w:color w:val="auto"/>
          <w:sz w:val="28"/>
          <w:szCs w:val="28"/>
        </w:rPr>
        <w:t xml:space="preserve">Подлежат указанию в строках </w:t>
      </w:r>
      <w:r>
        <w:rPr>
          <w:b/>
          <w:color w:val="auto"/>
          <w:sz w:val="28"/>
          <w:szCs w:val="28"/>
        </w:rPr>
        <w:t>"Доход от педагогической и научной деятельности"</w:t>
      </w:r>
      <w:r>
        <w:rPr>
          <w:color w:val="auto"/>
          <w:sz w:val="28"/>
          <w:szCs w:val="28"/>
        </w:rPr>
        <w:t xml:space="preserve"> и </w:t>
      </w:r>
      <w:r>
        <w:rPr>
          <w:b/>
          <w:color w:val="auto"/>
          <w:sz w:val="28"/>
          <w:szCs w:val="28"/>
        </w:rPr>
        <w:t>"Доход от иной творческой деятельности"</w:t>
      </w:r>
      <w:r>
        <w:rPr>
          <w:color w:val="auto"/>
          <w:sz w:val="28"/>
          <w:szCs w:val="28"/>
        </w:rP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pPr>
        <w:pStyle w:val="Normal"/>
        <w:tabs>
          <w:tab w:val="clear" w:pos="709"/>
          <w:tab w:val="left" w:pos="1134" w:leader="none"/>
        </w:tabs>
        <w:ind w:firstLine="567"/>
        <w:rPr>
          <w:rFonts w:ascii="Times New Roman" w:hAnsi="Times New Roman"/>
          <w:b/>
          <w:sz w:val="28"/>
          <w:szCs w:val="28"/>
        </w:rPr>
      </w:pPr>
      <w:r>
        <w:rPr>
          <w:rFonts w:ascii="Times New Roman" w:hAnsi="Times New Roman"/>
          <w:b/>
          <w:sz w:val="28"/>
          <w:szCs w:val="28"/>
        </w:rPr>
        <w:t>Доход от вкладов в банках и иных кредитных организациях</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Сведения о наличии соответствующих банковских счетов и вкладов указываются в разделе 4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r>
        <w:rPr>
          <w:rFonts w:eastAsia="Times New Roman" w:ascii="Times New Roman" w:hAnsi="Times New Roman"/>
          <w:sz w:val="28"/>
          <w:szCs w:val="28"/>
          <w:lang w:eastAsia="ru-RU"/>
        </w:rPr>
        <w:t xml:space="preserve">(с учетом положений </w:t>
      </w:r>
      <w:r>
        <w:rPr>
          <w:rFonts w:ascii="Times New Roman" w:hAnsi="Times New Roman"/>
          <w:sz w:val="28"/>
        </w:rPr>
        <w:t xml:space="preserve">пункта </w:t>
      </w:r>
      <w:r>
        <w:rPr>
          <w:rFonts w:eastAsia="Times New Roman" w:ascii="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eastAsia="Times New Roman" w:ascii="Times New Roman" w:hAnsi="Times New Roman"/>
          <w:sz w:val="28"/>
          <w:szCs w:val="28"/>
          <w:lang w:eastAsia="ru-RU"/>
        </w:rPr>
        <w:t>)</w:t>
      </w:r>
      <w:r>
        <w:rPr>
          <w:rFonts w:ascii="Times New Roman" w:hAnsi="Times New Roman"/>
          <w:sz w:val="28"/>
          <w:szCs w:val="28"/>
        </w:rPr>
        <w:t xml:space="preserve">.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pPr>
        <w:pStyle w:val="ListParagraph"/>
        <w:numPr>
          <w:ilvl w:val="0"/>
          <w:numId w:val="1"/>
        </w:numPr>
        <w:tabs>
          <w:tab w:val="clear" w:pos="709"/>
          <w:tab w:val="left" w:pos="567" w:leader="none"/>
        </w:tabs>
        <w:ind w:left="0" w:firstLine="567"/>
        <w:rPr>
          <w:rFonts w:ascii="Times New Roman" w:hAnsi="Times New Roman"/>
          <w:sz w:val="28"/>
          <w:szCs w:val="28"/>
        </w:rPr>
      </w:pPr>
      <w:r>
        <w:rPr>
          <w:rFonts w:ascii="Times New Roman" w:hAnsi="Times New Roman"/>
          <w:sz w:val="28"/>
          <w:szCs w:val="28"/>
        </w:rPr>
        <w:t xml:space="preserve">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r>
        <w:rPr>
          <w:rFonts w:eastAsia="Times New Roman" w:ascii="Times New Roman" w:hAnsi="Times New Roman"/>
          <w:sz w:val="28"/>
          <w:szCs w:val="28"/>
          <w:lang w:eastAsia="ru-RU"/>
        </w:rPr>
        <w:t xml:space="preserve">(с учетом положений </w:t>
      </w:r>
      <w:r>
        <w:rPr>
          <w:rFonts w:ascii="Times New Roman" w:hAnsi="Times New Roman"/>
          <w:sz w:val="28"/>
        </w:rPr>
        <w:t xml:space="preserve">пункта </w:t>
      </w:r>
      <w:r>
        <w:rPr>
          <w:rFonts w:eastAsia="Times New Roman" w:ascii="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 (за исключением случаев, указанных </w:t>
      </w:r>
      <w:r>
        <w:rPr>
          <w:rFonts w:ascii="Times New Roman" w:hAnsi="Times New Roman"/>
          <w:sz w:val="28"/>
        </w:rPr>
        <w:t xml:space="preserve">в пункте </w:t>
      </w:r>
      <w:r>
        <w:rPr>
          <w:rFonts w:ascii="Times New Roman" w:hAnsi="Times New Roman"/>
          <w:sz w:val="28"/>
          <w:szCs w:val="28"/>
        </w:rPr>
        <w:t xml:space="preserve">75 и подпункте 15 пункта 84 </w:t>
      </w:r>
      <w:r>
        <w:rPr>
          <w:rFonts w:ascii="Times New Roman" w:hAnsi="Times New Roman"/>
          <w:sz w:val="28"/>
        </w:rPr>
        <w:t>настоящих Методических рекомендаций</w:t>
      </w:r>
      <w:r>
        <w:rPr>
          <w:rFonts w:ascii="Times New Roman" w:hAnsi="Times New Roman"/>
          <w:sz w:val="28"/>
          <w:szCs w:val="28"/>
        </w:rPr>
        <w:t>).</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pPr>
        <w:pStyle w:val="ListParagraph"/>
        <w:tabs>
          <w:tab w:val="clear" w:pos="709"/>
          <w:tab w:val="left" w:pos="1276" w:leader="none"/>
        </w:tabs>
        <w:ind w:left="0" w:firstLine="567"/>
        <w:rPr>
          <w:rFonts w:ascii="Times New Roman" w:hAnsi="Times New Roman"/>
          <w:sz w:val="28"/>
          <w:szCs w:val="28"/>
        </w:rPr>
      </w:pPr>
      <w:r>
        <w:rPr>
          <w:rFonts w:ascii="Times New Roman" w:hAnsi="Times New Roman"/>
          <w:sz w:val="28"/>
          <w:szCs w:val="28"/>
        </w:rP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Pr>
          <w:rStyle w:val="Style13"/>
          <w:rFonts w:cs="Times New Roman" w:ascii="Times New Roman" w:hAnsi="Times New Roman"/>
          <w:sz w:val="28"/>
          <w:szCs w:val="28"/>
        </w:rPr>
        <w:t>полученной в рамках Указания Банка России № 5798-У, такие сведения не отражаются в справке.</w:t>
      </w:r>
    </w:p>
    <w:p>
      <w:pPr>
        <w:pStyle w:val="ListParagraph"/>
        <w:tabs>
          <w:tab w:val="clear" w:pos="709"/>
          <w:tab w:val="left" w:pos="1276" w:leader="none"/>
        </w:tabs>
        <w:ind w:left="0" w:firstLine="567"/>
        <w:rPr>
          <w:rFonts w:ascii="Times New Roman" w:hAnsi="Times New Roman"/>
          <w:b/>
          <w:sz w:val="28"/>
          <w:szCs w:val="28"/>
        </w:rPr>
      </w:pPr>
      <w:r>
        <w:rPr>
          <w:rFonts w:ascii="Times New Roman" w:hAnsi="Times New Roman"/>
          <w:b/>
          <w:sz w:val="28"/>
          <w:szCs w:val="28"/>
        </w:rPr>
        <w:t>Доход от ценных бумаг и долей участия в коммерческих организациях</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pPr>
        <w:pStyle w:val="ListParagraph"/>
        <w:ind w:left="0" w:firstLine="567"/>
        <w:rPr>
          <w:rFonts w:ascii="Times New Roman" w:hAnsi="Times New Roman"/>
          <w:sz w:val="28"/>
          <w:szCs w:val="28"/>
        </w:rPr>
      </w:pPr>
      <w:r>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pPr>
        <w:pStyle w:val="ListParagraph"/>
        <w:ind w:left="0" w:firstLine="567"/>
        <w:rPr>
          <w:rFonts w:ascii="Times New Roman" w:hAnsi="Times New Roman"/>
          <w:sz w:val="28"/>
          <w:szCs w:val="28"/>
        </w:rPr>
      </w:pPr>
      <w:r>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кодекса Российской Федерации он не должен учитываться при расчете финансового результата в соответствии со статьей 214.1 Налогового кодекса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3) дисконт, полученный в качестве дохода по облигациям;</w:t>
      </w:r>
    </w:p>
    <w:p>
      <w:pPr>
        <w:pStyle w:val="ListParagraph"/>
        <w:tabs>
          <w:tab w:val="clear" w:pos="709"/>
          <w:tab w:val="left" w:pos="1276" w:leader="none"/>
        </w:tabs>
        <w:ind w:left="0" w:firstLine="567"/>
        <w:rPr>
          <w:rFonts w:ascii="Times New Roman" w:hAnsi="Times New Roman"/>
          <w:sz w:val="28"/>
          <w:szCs w:val="28"/>
        </w:rPr>
      </w:pPr>
      <w:r>
        <w:rPr>
          <w:rFonts w:ascii="Times New Roman" w:hAnsi="Times New Roman"/>
          <w:sz w:val="28"/>
          <w:szCs w:val="28"/>
        </w:rPr>
        <w:t>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главой 23 Налогового кодекса Российской Федерации</w:t>
      </w:r>
      <w:r>
        <w:rPr>
          <w:rFonts w:ascii="Times New Roman" w:hAnsi="Times New Roman"/>
          <w:sz w:val="28"/>
          <w:szCs w:val="28"/>
          <w:shd w:fill="FFFFFF" w:val="clear"/>
        </w:rPr>
        <w:t>.</w:t>
      </w:r>
      <w:r>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 Рекомендуется учитывать содержание графы "Налоговая база" соответствующей Справки о доходах и суммах налога физического лица. </w:t>
      </w:r>
    </w:p>
    <w:p>
      <w:pPr>
        <w:pStyle w:val="ListParagraph"/>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pPr>
        <w:pStyle w:val="ListParagraph"/>
        <w:tabs>
          <w:tab w:val="clear" w:pos="709"/>
          <w:tab w:val="left" w:pos="1276" w:leader="none"/>
        </w:tabs>
        <w:ind w:left="0" w:firstLine="567"/>
        <w:rPr>
          <w:rFonts w:ascii="Times New Roman" w:hAnsi="Times New Roman"/>
          <w:b/>
          <w:sz w:val="28"/>
          <w:szCs w:val="28"/>
        </w:rPr>
      </w:pPr>
      <w:r>
        <w:rPr>
          <w:rFonts w:ascii="Times New Roman" w:hAnsi="Times New Roman"/>
          <w:b/>
          <w:sz w:val="28"/>
          <w:szCs w:val="28"/>
        </w:rPr>
        <w:t>Иные доходы</w:t>
      </w:r>
    </w:p>
    <w:p>
      <w:pPr>
        <w:pStyle w:val="Style22"/>
        <w:numPr>
          <w:ilvl w:val="0"/>
          <w:numId w:val="1"/>
        </w:numPr>
        <w:shd w:val="clear" w:color="auto" w:fill="auto"/>
        <w:tabs>
          <w:tab w:val="clear" w:pos="709"/>
          <w:tab w:val="left" w:pos="142" w:leader="none"/>
        </w:tabs>
        <w:spacing w:lineRule="auto" w:line="240" w:before="0" w:after="0"/>
        <w:ind w:left="0" w:firstLine="567"/>
        <w:rPr>
          <w:rStyle w:val="Style13"/>
          <w:rFonts w:ascii="Times New Roman" w:hAnsi="Times New Roman" w:cs="Times New Roman"/>
          <w:color w:val="000000"/>
          <w:sz w:val="28"/>
          <w:szCs w:val="28"/>
        </w:rPr>
      </w:pPr>
      <w:r>
        <w:rPr>
          <w:rStyle w:val="Style13"/>
          <w:rFonts w:cs="Times New Roman" w:ascii="Times New Roman" w:hAnsi="Times New Roman"/>
          <w:color w:val="000000"/>
          <w:sz w:val="28"/>
          <w:szCs w:val="28"/>
        </w:rPr>
        <w:t xml:space="preserve">В данной строке указываются доходы, которые не были отражены в вышеуказанных строках справки. </w:t>
      </w:r>
    </w:p>
    <w:p>
      <w:pPr>
        <w:pStyle w:val="Style22"/>
        <w:shd w:val="clear" w:color="auto" w:fill="auto"/>
        <w:tabs>
          <w:tab w:val="clear" w:pos="709"/>
          <w:tab w:val="left" w:pos="142" w:leader="none"/>
        </w:tabs>
        <w:spacing w:lineRule="auto" w:line="240" w:before="0" w:after="0"/>
        <w:ind w:firstLine="567"/>
        <w:rPr>
          <w:rStyle w:val="Style13"/>
          <w:rFonts w:ascii="Times New Roman" w:hAnsi="Times New Roman" w:cs="Times New Roman"/>
          <w:sz w:val="28"/>
          <w:szCs w:val="28"/>
        </w:rPr>
      </w:pPr>
      <w:r>
        <w:rPr>
          <w:rStyle w:val="Style13"/>
          <w:rFonts w:cs="Times New Roman" w:ascii="Times New Roman" w:hAnsi="Times New Roman"/>
          <w:sz w:val="28"/>
          <w:szCs w:val="28"/>
        </w:rPr>
        <w:t xml:space="preserve">Так, например, в строке </w:t>
      </w:r>
      <w:r>
        <w:rPr>
          <w:rStyle w:val="Style13"/>
          <w:rFonts w:cs="Times New Roman" w:ascii="Times New Roman" w:hAnsi="Times New Roman"/>
          <w:b/>
          <w:sz w:val="28"/>
          <w:szCs w:val="28"/>
        </w:rPr>
        <w:t>"Иные</w:t>
      </w:r>
      <w:r>
        <w:rPr>
          <w:rStyle w:val="Style13"/>
          <w:rFonts w:ascii="Times New Roman" w:hAnsi="Times New Roman"/>
          <w:b/>
          <w:sz w:val="28"/>
        </w:rPr>
        <w:t xml:space="preserve"> доходы</w:t>
      </w:r>
      <w:r>
        <w:rPr>
          <w:rStyle w:val="Style13"/>
          <w:rFonts w:cs="Times New Roman" w:ascii="Times New Roman" w:hAnsi="Times New Roman"/>
          <w:b/>
          <w:sz w:val="28"/>
          <w:szCs w:val="28"/>
        </w:rPr>
        <w:t>"</w:t>
      </w:r>
      <w:r>
        <w:rPr>
          <w:rStyle w:val="Style13"/>
          <w:rFonts w:cs="Times New Roman" w:ascii="Times New Roman" w:hAnsi="Times New Roman"/>
          <w:sz w:val="28"/>
          <w:szCs w:val="28"/>
        </w:rPr>
        <w:t xml:space="preserve"> могут быть указаны: </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Style13"/>
          <w:rFonts w:ascii="Times New Roman" w:hAnsi="Times New Roman" w:cs="Times New Roman"/>
          <w:sz w:val="28"/>
          <w:szCs w:val="28"/>
        </w:rPr>
      </w:pPr>
      <w:r>
        <w:rPr>
          <w:rStyle w:val="Style13"/>
          <w:rFonts w:cs="Times New Roman" w:ascii="Times New Roman" w:hAnsi="Times New Roman"/>
          <w:sz w:val="28"/>
          <w:szCs w:val="28"/>
        </w:rPr>
        <w:t xml:space="preserve">государственная и негосударственная пенсии </w:t>
      </w:r>
      <w:r>
        <w:rPr>
          <w:rFonts w:cs="Times New Roman" w:ascii="Times New Roman" w:hAnsi="Times New Roman"/>
          <w:sz w:val="28"/>
          <w:szCs w:val="28"/>
        </w:rPr>
        <w:t>(при этом разные виды пенсий (по возрасту и пенсия военнослужащего) не следует суммировать)</w:t>
      </w:r>
      <w:r>
        <w:rPr>
          <w:rStyle w:val="Style13"/>
          <w:rFonts w:cs="Times New Roman" w:ascii="Times New Roman" w:hAnsi="Times New Roman"/>
          <w:sz w:val="28"/>
          <w:szCs w:val="28"/>
        </w:rPr>
        <w:t>;</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Fonts w:ascii="Times New Roman" w:hAnsi="Times New Roman" w:cs="Times New Roman"/>
          <w:sz w:val="28"/>
          <w:szCs w:val="28"/>
        </w:rPr>
      </w:pPr>
      <w:r>
        <w:rPr>
          <w:rFonts w:cs="Times New Roman" w:ascii="Times New Roman" w:hAnsi="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 </w:t>
      </w:r>
    </w:p>
    <w:p>
      <w:pPr>
        <w:pStyle w:val="Default"/>
        <w:numPr>
          <w:ilvl w:val="0"/>
          <w:numId w:val="6"/>
        </w:numPr>
        <w:tabs>
          <w:tab w:val="clear" w:pos="709"/>
          <w:tab w:val="left" w:pos="142" w:leader="none"/>
          <w:tab w:val="left" w:pos="1134" w:leader="none"/>
        </w:tabs>
        <w:ind w:left="0" w:firstLine="567"/>
        <w:rPr>
          <w:color w:val="auto"/>
          <w:sz w:val="28"/>
          <w:szCs w:val="28"/>
        </w:rPr>
      </w:pPr>
      <w:r>
        <w:rPr>
          <w:rStyle w:val="Style13"/>
          <w:rFonts w:cs="Times New Roman"/>
          <w:sz w:val="28"/>
          <w:szCs w:val="28"/>
        </w:rPr>
        <w:t xml:space="preserve">все виды пособий (пособие </w:t>
      </w:r>
      <w:r>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Pr>
          <w:rStyle w:val="Style13"/>
          <w:rFonts w:cs="Times New Roman"/>
          <w:sz w:val="28"/>
          <w:szCs w:val="28"/>
        </w:rPr>
        <w:t xml:space="preserve"> и др.</w:t>
      </w:r>
      <w:r>
        <w:rPr>
          <w:color w:val="auto"/>
          <w:sz w:val="28"/>
          <w:szCs w:val="28"/>
        </w:rPr>
        <w:t xml:space="preserve">), если данные выплаты не были включены в Справку </w:t>
      </w:r>
      <w:r>
        <w:rPr>
          <w:sz w:val="28"/>
          <w:szCs w:val="28"/>
        </w:rPr>
        <w:t>о доходах и суммах налога физического лица</w:t>
      </w:r>
      <w:r>
        <w:rPr>
          <w:color w:val="auto"/>
          <w:sz w:val="28"/>
          <w:szCs w:val="28"/>
        </w:rPr>
        <w:t xml:space="preserve">, выдаваемую по месту службы (работы). </w:t>
      </w:r>
    </w:p>
    <w:p>
      <w:pPr>
        <w:pStyle w:val="Default"/>
        <w:tabs>
          <w:tab w:val="clear" w:pos="709"/>
          <w:tab w:val="left" w:pos="142" w:leader="none"/>
          <w:tab w:val="left" w:pos="1134" w:leader="none"/>
        </w:tabs>
        <w:ind w:firstLine="567"/>
        <w:rPr>
          <w:color w:val="auto"/>
          <w:sz w:val="28"/>
          <w:szCs w:val="28"/>
        </w:rPr>
      </w:pPr>
      <w:r>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Pr>
          <w:sz w:val="28"/>
          <w:szCs w:val="28"/>
        </w:rPr>
        <w:t>"</w:t>
      </w:r>
      <w:r>
        <w:rPr>
          <w:color w:val="auto"/>
          <w:sz w:val="28"/>
          <w:szCs w:val="28"/>
        </w:rPr>
        <w:t>Об обязательном социальном страховании на случай временной нетрудоспособности и в связи с материнством</w:t>
      </w:r>
      <w:r>
        <w:rPr>
          <w:sz w:val="28"/>
          <w:szCs w:val="28"/>
        </w:rPr>
        <w:t>"</w:t>
      </w:r>
      <w:r>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 или посредством официального сайта Фонда пенсионного и социального страхования Российской Федерации);</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Style13"/>
          <w:rFonts w:ascii="Times New Roman" w:hAnsi="Times New Roman" w:cs="Times New Roman"/>
          <w:color w:val="000000"/>
          <w:sz w:val="28"/>
          <w:szCs w:val="28"/>
        </w:rPr>
      </w:pPr>
      <w:r>
        <w:rPr>
          <w:rFonts w:cs="Times New Roman" w:ascii="Times New Roman" w:hAnsi="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Style13"/>
          <w:rFonts w:ascii="Times New Roman" w:hAnsi="Times New Roman" w:cs="Times New Roman"/>
          <w:color w:val="000000"/>
          <w:sz w:val="28"/>
          <w:szCs w:val="28"/>
        </w:rPr>
      </w:pPr>
      <w:r>
        <w:rPr>
          <w:rStyle w:val="Style13"/>
          <w:rFonts w:cs="Times New Roman" w:ascii="Times New Roman" w:hAnsi="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Pr>
          <w:rStyle w:val="Style13"/>
          <w:rFonts w:ascii="Times New Roman" w:hAnsi="Times New Roman"/>
          <w:color w:val="000000"/>
          <w:sz w:val="28"/>
        </w:rPr>
        <w:t>пунктом 39</w:t>
      </w:r>
      <w:r>
        <w:rPr>
          <w:rStyle w:val="Style13"/>
          <w:rFonts w:cs="Times New Roman" w:ascii="Times New Roman" w:hAnsi="Times New Roman"/>
          <w:color w:val="000000"/>
          <w:sz w:val="28"/>
          <w:szCs w:val="28"/>
        </w:rPr>
        <w:t xml:space="preserve"> настоящих</w:t>
      </w:r>
      <w:r>
        <w:rPr>
          <w:rStyle w:val="Style13"/>
          <w:rFonts w:ascii="Times New Roman" w:hAnsi="Times New Roman"/>
          <w:color w:val="000000"/>
          <w:sz w:val="28"/>
        </w:rPr>
        <w:t xml:space="preserve"> Методических рекомендаций</w:t>
      </w:r>
      <w:r>
        <w:rPr>
          <w:rStyle w:val="Style13"/>
          <w:rFonts w:cs="Times New Roman" w:ascii="Times New Roman" w:hAnsi="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строке </w:t>
      </w:r>
      <w:r>
        <w:rPr>
          <w:rStyle w:val="Style13"/>
          <w:rFonts w:ascii="Times New Roman" w:hAnsi="Times New Roman"/>
          <w:b/>
          <w:color w:val="000000"/>
          <w:sz w:val="28"/>
        </w:rPr>
        <w:t>"Иные доходы"</w:t>
      </w:r>
      <w:r>
        <w:rPr>
          <w:rStyle w:val="Style13"/>
          <w:rFonts w:cs="Times New Roman" w:ascii="Times New Roman" w:hAnsi="Times New Roman"/>
          <w:color w:val="000000"/>
          <w:sz w:val="28"/>
          <w:szCs w:val="28"/>
        </w:rPr>
        <w:t>, а сведения о счете – в разделе 4 справки;</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Style13"/>
          <w:rFonts w:ascii="Times New Roman" w:hAnsi="Times New Roman" w:cs="Times New Roman"/>
          <w:color w:val="000000"/>
          <w:sz w:val="28"/>
          <w:szCs w:val="28"/>
        </w:rPr>
      </w:pPr>
      <w:r>
        <w:rPr>
          <w:rStyle w:val="Style13"/>
          <w:rFonts w:cs="Times New Roman" w:ascii="Times New Roman" w:hAnsi="Times New Roman"/>
          <w:color w:val="000000"/>
          <w:sz w:val="28"/>
          <w:szCs w:val="28"/>
        </w:rPr>
        <w:t>стипендия;</w:t>
      </w:r>
    </w:p>
    <w:p>
      <w:pPr>
        <w:pStyle w:val="ListParagraph"/>
        <w:numPr>
          <w:ilvl w:val="0"/>
          <w:numId w:val="6"/>
        </w:numPr>
        <w:tabs>
          <w:tab w:val="clear" w:pos="709"/>
          <w:tab w:val="left" w:pos="142" w:leader="none"/>
          <w:tab w:val="left" w:pos="1134" w:leader="none"/>
        </w:tabs>
        <w:ind w:left="0" w:firstLine="567"/>
        <w:rPr>
          <w:rFonts w:ascii="Times New Roman" w:hAnsi="Times New Roman"/>
          <w:sz w:val="28"/>
          <w:szCs w:val="28"/>
        </w:rPr>
      </w:pPr>
      <w:r>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Style13"/>
          <w:rFonts w:ascii="Times New Roman" w:hAnsi="Times New Roman" w:cs="Times New Roman"/>
          <w:sz w:val="28"/>
          <w:szCs w:val="28"/>
        </w:rPr>
      </w:pPr>
      <w:r>
        <w:rPr>
          <w:rStyle w:val="Style13"/>
          <w:rFonts w:cs="Times New Roman" w:ascii="Times New Roman" w:hAnsi="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color w:val="000000"/>
          <w:sz w:val="28"/>
          <w:szCs w:val="28"/>
        </w:rPr>
        <w:t xml:space="preserve">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w:t>
      </w:r>
      <w:r>
        <w:rPr>
          <w:rStyle w:val="Style13"/>
          <w:rFonts w:ascii="Times New Roman" w:hAnsi="Times New Roman"/>
          <w:color w:val="000000"/>
          <w:sz w:val="28"/>
        </w:rPr>
        <w:t xml:space="preserve">пунктом 39 </w:t>
      </w:r>
      <w:r>
        <w:rPr>
          <w:rStyle w:val="Style13"/>
          <w:rFonts w:cs="Times New Roman" w:ascii="Times New Roman" w:hAnsi="Times New Roman"/>
          <w:color w:val="000000"/>
          <w:sz w:val="28"/>
          <w:szCs w:val="28"/>
        </w:rPr>
        <w:t xml:space="preserve">настоящих </w:t>
      </w:r>
      <w:r>
        <w:rPr>
          <w:rStyle w:val="Style13"/>
          <w:rFonts w:ascii="Times New Roman" w:hAnsi="Times New Roman"/>
          <w:color w:val="000000"/>
          <w:sz w:val="28"/>
        </w:rPr>
        <w:t>Методических рекомендаций</w:t>
      </w:r>
      <w:r>
        <w:rPr>
          <w:rStyle w:val="Style13"/>
          <w:rFonts w:cs="Times New Roman" w:ascii="Times New Roman" w:hAnsi="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 </w:t>
      </w:r>
    </w:p>
    <w:p>
      <w:pPr>
        <w:pStyle w:val="Style22"/>
        <w:shd w:val="clear" w:color="auto" w:fill="auto"/>
        <w:tabs>
          <w:tab w:val="clear" w:pos="709"/>
          <w:tab w:val="left" w:pos="142" w:leader="none"/>
          <w:tab w:val="left" w:pos="1134" w:leader="none"/>
        </w:tabs>
        <w:spacing w:lineRule="auto" w:line="240" w:before="0" w:after="0"/>
        <w:ind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Pr>
          <w:rStyle w:val="Style13"/>
          <w:rFonts w:cs="Times New Roman" w:ascii="Times New Roman" w:hAnsi="Times New Roman"/>
          <w:color w:val="000000"/>
          <w:sz w:val="28"/>
          <w:szCs w:val="28"/>
        </w:rPr>
        <w:t>Доход от реализации имущества указывается в полном объеме без вычета "комиссионных" и иных подобных выплат.</w:t>
      </w:r>
    </w:p>
    <w:p>
      <w:pPr>
        <w:pStyle w:val="Style22"/>
        <w:shd w:val="clear" w:color="auto" w:fill="auto"/>
        <w:tabs>
          <w:tab w:val="clear" w:pos="709"/>
          <w:tab w:val="left" w:pos="142" w:leader="none"/>
          <w:tab w:val="left" w:pos="1134" w:leader="none"/>
        </w:tabs>
        <w:spacing w:lineRule="auto" w:line="240" w:before="0" w:after="0"/>
        <w:ind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pPr>
        <w:pStyle w:val="Style22"/>
        <w:shd w:val="clear" w:color="auto" w:fill="auto"/>
        <w:tabs>
          <w:tab w:val="clear" w:pos="709"/>
          <w:tab w:val="left" w:pos="142" w:leader="none"/>
          <w:tab w:val="left" w:pos="1134" w:leader="none"/>
        </w:tabs>
        <w:spacing w:lineRule="auto" w:line="240" w:before="0" w:after="0"/>
        <w:ind w:firstLine="567"/>
        <w:rPr>
          <w:rFonts w:ascii="Times New Roman" w:hAnsi="Times New Roman" w:cs="Times New Roman"/>
          <w:sz w:val="28"/>
          <w:szCs w:val="28"/>
        </w:rPr>
      </w:pPr>
      <w:r>
        <w:rPr>
          <w:rStyle w:val="Style13"/>
          <w:rFonts w:cs="Times New Roman" w:ascii="Times New Roman" w:hAnsi="Times New Roman"/>
          <w:color w:val="000000"/>
          <w:sz w:val="28"/>
          <w:szCs w:val="28"/>
        </w:rPr>
        <w:t xml:space="preserve">При этом </w:t>
      </w:r>
      <w:r>
        <w:rPr>
          <w:rStyle w:val="Style13"/>
          <w:rFonts w:cs="Times New Roman" w:ascii="Times New Roman" w:hAnsi="Times New Roman"/>
          <w:sz w:val="28"/>
          <w:szCs w:val="28"/>
        </w:rPr>
        <w:t xml:space="preserve">рекомендуется </w:t>
      </w:r>
      <w:r>
        <w:rPr>
          <w:rStyle w:val="Style13"/>
          <w:rFonts w:cs="Times New Roman" w:ascii="Times New Roman" w:hAnsi="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Pr>
          <w:rFonts w:cs="Times New Roman" w:ascii="Times New Roman" w:hAnsi="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Pr>
          <w:rFonts w:ascii="Times New Roman" w:hAnsi="Times New Roman"/>
          <w:b/>
          <w:sz w:val="28"/>
        </w:rPr>
        <w:t>"Иные доходы"</w:t>
      </w:r>
      <w:r>
        <w:rPr>
          <w:rFonts w:cs="Times New Roman" w:ascii="Times New Roman" w:hAnsi="Times New Roman"/>
          <w:sz w:val="28"/>
          <w:szCs w:val="28"/>
        </w:rPr>
        <w:t>).</w:t>
      </w:r>
    </w:p>
    <w:p>
      <w:pPr>
        <w:pStyle w:val="Style22"/>
        <w:shd w:val="clear" w:color="auto" w:fill="auto"/>
        <w:tabs>
          <w:tab w:val="clear" w:pos="709"/>
          <w:tab w:val="left" w:pos="142" w:leader="none"/>
          <w:tab w:val="left" w:pos="1134" w:leader="none"/>
        </w:tabs>
        <w:spacing w:lineRule="auto" w:line="240" w:before="0" w:after="0"/>
        <w:ind w:firstLine="567"/>
        <w:rPr>
          <w:rFonts w:ascii="Times New Roman" w:hAnsi="Times New Roman" w:cs="Times New Roman"/>
          <w:sz w:val="28"/>
          <w:szCs w:val="28"/>
        </w:rPr>
      </w:pPr>
      <w:r>
        <w:rPr>
          <w:rFonts w:cs="Times New Roman" w:ascii="Times New Roman" w:hAnsi="Times New Roman"/>
          <w:sz w:val="28"/>
          <w:szCs w:val="28"/>
        </w:rP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pPr>
        <w:pStyle w:val="Style22"/>
        <w:shd w:val="clear" w:color="auto" w:fill="auto"/>
        <w:tabs>
          <w:tab w:val="clear" w:pos="709"/>
          <w:tab w:val="left" w:pos="142" w:leader="none"/>
          <w:tab w:val="left" w:pos="1134" w:leader="none"/>
        </w:tabs>
        <w:spacing w:lineRule="auto" w:line="240" w:before="0" w:after="0"/>
        <w:ind w:firstLine="567"/>
        <w:rPr>
          <w:rFonts w:ascii="Times New Roman" w:hAnsi="Times New Roman" w:cs="Times New Roman"/>
          <w:sz w:val="28"/>
          <w:szCs w:val="28"/>
        </w:rPr>
      </w:pPr>
      <w:r>
        <w:rPr>
          <w:rFonts w:cs="Times New Roman" w:ascii="Times New Roman" w:hAnsi="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pPr>
        <w:pStyle w:val="Style22"/>
        <w:shd w:val="clear" w:color="auto" w:fill="auto"/>
        <w:tabs>
          <w:tab w:val="clear" w:pos="709"/>
          <w:tab w:val="left" w:pos="142" w:leader="none"/>
          <w:tab w:val="left" w:pos="1134" w:leader="none"/>
        </w:tabs>
        <w:spacing w:lineRule="auto" w:line="240" w:before="0" w:after="0"/>
        <w:ind w:firstLine="567"/>
        <w:rPr>
          <w:rFonts w:ascii="Times New Roman" w:hAnsi="Times New Roman" w:cs="Times New Roman"/>
          <w:sz w:val="28"/>
          <w:szCs w:val="28"/>
        </w:rPr>
      </w:pPr>
      <w:r>
        <w:rPr>
          <w:rFonts w:cs="Times New Roman" w:ascii="Times New Roman" w:hAnsi="Times New Roman"/>
          <w:sz w:val="28"/>
          <w:szCs w:val="28"/>
        </w:rPr>
        <w:t>Аналогично в отношении продажи имущества, находящегося в совместной собственности;</w:t>
      </w:r>
    </w:p>
    <w:p>
      <w:pPr>
        <w:pStyle w:val="Style22"/>
        <w:numPr>
          <w:ilvl w:val="0"/>
          <w:numId w:val="6"/>
        </w:numPr>
        <w:shd w:val="clear" w:color="auto" w:fill="auto"/>
        <w:tabs>
          <w:tab w:val="clear" w:pos="709"/>
          <w:tab w:val="left" w:pos="142" w:leader="none"/>
          <w:tab w:val="left" w:pos="710" w:leader="none"/>
        </w:tabs>
        <w:spacing w:lineRule="auto" w:line="240" w:before="0" w:after="0"/>
        <w:ind w:left="0" w:firstLine="567"/>
        <w:rPr>
          <w:rStyle w:val="Style13"/>
          <w:rFonts w:ascii="Times New Roman" w:hAnsi="Times New Roman" w:cs="Times New Roman"/>
          <w:sz w:val="28"/>
          <w:szCs w:val="28"/>
        </w:rPr>
      </w:pPr>
      <w:r>
        <w:rPr>
          <w:rStyle w:val="Style13"/>
          <w:rFonts w:cs="Times New Roman" w:ascii="Times New Roman" w:hAnsi="Times New Roman"/>
          <w:sz w:val="28"/>
          <w:szCs w:val="28"/>
          <w:shd w:fill="auto" w:val="clear"/>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111"/>
          <w:rFonts w:ascii="Times New Roman" w:hAnsi="Times New Roman"/>
          <w:sz w:val="28"/>
          <w:szCs w:val="28"/>
          <w:shd w:fill="FFFFFF" w:val="clear"/>
        </w:rPr>
      </w:pPr>
      <w:r>
        <w:rPr>
          <w:rStyle w:val="Style13"/>
          <w:rFonts w:cs="Times New Roman" w:ascii="Times New Roman" w:hAnsi="Times New Roman"/>
          <w:sz w:val="28"/>
          <w:szCs w:val="28"/>
        </w:rPr>
        <w:t xml:space="preserve">доходы по трудовым договорам по совместительству. </w:t>
      </w:r>
      <w:r>
        <w:rPr>
          <w:rStyle w:val="111"/>
          <w:rFonts w:ascii="Times New Roman" w:hAnsi="Times New Roman"/>
          <w:color w:val="000000"/>
          <w:sz w:val="28"/>
          <w:szCs w:val="28"/>
        </w:rPr>
        <w:t xml:space="preserve">При этом рекомендуется указать наименование и </w:t>
      </w:r>
      <w:r>
        <w:rPr>
          <w:rFonts w:cs="Times New Roman" w:ascii="Times New Roman" w:hAnsi="Times New Roman"/>
          <w:sz w:val="28"/>
          <w:szCs w:val="28"/>
        </w:rPr>
        <w:t xml:space="preserve">адрес места нахождения </w:t>
      </w:r>
      <w:r>
        <w:rPr>
          <w:rStyle w:val="111"/>
          <w:rFonts w:ascii="Times New Roman" w:hAnsi="Times New Roman"/>
          <w:color w:val="000000"/>
          <w:sz w:val="28"/>
          <w:szCs w:val="28"/>
        </w:rPr>
        <w:t xml:space="preserve">организации, от которой был получен доход; </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111"/>
          <w:rFonts w:ascii="Times New Roman" w:hAnsi="Times New Roman"/>
          <w:sz w:val="28"/>
          <w:szCs w:val="28"/>
          <w:shd w:fill="FFFFFF" w:val="clear"/>
        </w:rPr>
      </w:pPr>
      <w:r>
        <w:rPr>
          <w:rStyle w:val="Style13"/>
          <w:rFonts w:cs="Times New Roman" w:ascii="Times New Roman" w:hAnsi="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Pr>
          <w:rStyle w:val="Style13"/>
          <w:rFonts w:ascii="Times New Roman" w:hAnsi="Times New Roman"/>
          <w:b/>
          <w:sz w:val="28"/>
        </w:rPr>
        <w:t>"Доход от ценных бумаг и долей участия в коммерческих организациях"</w:t>
      </w:r>
      <w:r>
        <w:rPr>
          <w:rStyle w:val="Style13"/>
          <w:rFonts w:cs="Times New Roman" w:ascii="Times New Roman" w:hAnsi="Times New Roman"/>
          <w:sz w:val="28"/>
          <w:szCs w:val="28"/>
        </w:rPr>
        <w:t>;</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111"/>
          <w:rFonts w:ascii="Times New Roman" w:hAnsi="Times New Roman"/>
          <w:color w:val="000000"/>
          <w:sz w:val="28"/>
          <w:szCs w:val="28"/>
        </w:rPr>
      </w:pPr>
      <w:r>
        <w:rPr>
          <w:rStyle w:val="Style13"/>
          <w:rFonts w:cs="Times New Roman" w:ascii="Times New Roman" w:hAnsi="Times New Roman"/>
          <w:sz w:val="28"/>
          <w:szCs w:val="28"/>
        </w:rPr>
        <w:t xml:space="preserve">вознаграждения по гражданско-правовым договорам, если данный доход не указан в иных строках настоящего раздела справки. </w:t>
      </w:r>
      <w:r>
        <w:rPr>
          <w:rStyle w:val="111"/>
          <w:rFonts w:ascii="Times New Roman" w:hAnsi="Times New Roman"/>
          <w:color w:val="000000"/>
          <w:sz w:val="28"/>
          <w:szCs w:val="28"/>
        </w:rPr>
        <w:t xml:space="preserve">При этом рекомендуется указать наименование и </w:t>
      </w:r>
      <w:r>
        <w:rPr>
          <w:rFonts w:cs="Times New Roman" w:ascii="Times New Roman" w:hAnsi="Times New Roman"/>
          <w:sz w:val="28"/>
          <w:szCs w:val="28"/>
        </w:rPr>
        <w:t xml:space="preserve">место нахождения </w:t>
      </w:r>
      <w:r>
        <w:rPr>
          <w:rStyle w:val="111"/>
          <w:rFonts w:ascii="Times New Roman" w:hAnsi="Times New Roman"/>
          <w:color w:val="000000"/>
          <w:sz w:val="28"/>
          <w:szCs w:val="28"/>
        </w:rPr>
        <w:t xml:space="preserve">организации, от которой был получен доход, или </w:t>
      </w:r>
      <w:r>
        <w:rPr>
          <w:rFonts w:ascii="Times New Roman" w:hAnsi="Times New Roman"/>
          <w:sz w:val="28"/>
          <w:szCs w:val="28"/>
        </w:rPr>
        <w:t>фамилию, имя и отчество соответствующего лица</w:t>
      </w:r>
      <w:r>
        <w:rPr>
          <w:rStyle w:val="111"/>
          <w:rFonts w:ascii="Times New Roman" w:hAnsi="Times New Roman"/>
          <w:color w:val="000000"/>
          <w:sz w:val="28"/>
          <w:szCs w:val="28"/>
        </w:rPr>
        <w:t xml:space="preserve">; </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Fonts w:ascii="Times New Roman" w:hAnsi="Times New Roman" w:cs="Times New Roman"/>
          <w:color w:val="000000"/>
          <w:sz w:val="28"/>
          <w:szCs w:val="28"/>
          <w:shd w:fill="FFFFFF" w:val="clear"/>
        </w:rPr>
      </w:pPr>
      <w:r>
        <w:rPr>
          <w:rFonts w:eastAsia="Times New Roman" w:cs="Times New Roman" w:ascii="Times New Roman" w:hAnsi="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Pr>
          <w:rFonts w:ascii="Times New Roman" w:hAnsi="Times New Roman"/>
          <w:b/>
          <w:sz w:val="28"/>
        </w:rPr>
        <w:t>"Иное недвижимое имущество"</w:t>
      </w:r>
      <w:r>
        <w:rPr>
          <w:rFonts w:eastAsia="Times New Roman" w:cs="Times New Roman" w:ascii="Times New Roman" w:hAnsi="Times New Roman"/>
          <w:sz w:val="28"/>
          <w:szCs w:val="28"/>
          <w:lang w:eastAsia="ru-RU"/>
        </w:rPr>
        <w:t xml:space="preserve"> подраздела 3.1 раздела 3 справки);</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Style w:val="Style13"/>
          <w:rFonts w:ascii="Times New Roman" w:hAnsi="Times New Roman" w:cs="Times New Roman"/>
          <w:color w:val="000000"/>
          <w:sz w:val="28"/>
          <w:szCs w:val="28"/>
        </w:rPr>
      </w:pPr>
      <w:r>
        <w:rPr>
          <w:rFonts w:eastAsia="Times New Roman" w:cs="Times New Roman" w:ascii="Times New Roman" w:hAnsi="Times New Roman"/>
          <w:sz w:val="28"/>
          <w:szCs w:val="28"/>
          <w:lang w:eastAsia="ru-RU"/>
        </w:rPr>
        <w:t>проценты по долговым обязательствам;</w:t>
      </w:r>
    </w:p>
    <w:p>
      <w:pPr>
        <w:pStyle w:val="Style22"/>
        <w:numPr>
          <w:ilvl w:val="0"/>
          <w:numId w:val="6"/>
        </w:numPr>
        <w:shd w:val="clear" w:color="auto" w:fill="auto"/>
        <w:tabs>
          <w:tab w:val="clear" w:pos="709"/>
          <w:tab w:val="left" w:pos="142" w:leader="none"/>
          <w:tab w:val="left" w:pos="1134" w:leader="none"/>
        </w:tabs>
        <w:spacing w:lineRule="auto" w:line="240" w:before="0" w:after="0"/>
        <w:ind w:left="0" w:firstLine="567"/>
        <w:rPr>
          <w:rFonts w:ascii="Times New Roman" w:hAnsi="Times New Roman" w:cs="Times New Roman"/>
          <w:sz w:val="28"/>
          <w:szCs w:val="28"/>
        </w:rPr>
      </w:pPr>
      <w:r>
        <w:rPr>
          <w:rFonts w:cs="Times New Roman" w:ascii="Times New Roman" w:hAnsi="Times New Roman"/>
          <w:sz w:val="28"/>
          <w:szCs w:val="28"/>
        </w:rPr>
        <w:t>денежные средства, полученные в порядке дарения или наследования. При этом рекомендуется указать</w:t>
      </w:r>
      <w:r>
        <w:rPr>
          <w:rStyle w:val="111"/>
          <w:rFonts w:ascii="Times New Roman" w:hAnsi="Times New Roman"/>
          <w:color w:val="000000"/>
          <w:sz w:val="28"/>
          <w:szCs w:val="28"/>
        </w:rPr>
        <w:t xml:space="preserve"> </w:t>
      </w:r>
      <w:r>
        <w:rPr>
          <w:rFonts w:ascii="Times New Roman" w:hAnsi="Times New Roman"/>
          <w:sz w:val="28"/>
          <w:szCs w:val="28"/>
        </w:rPr>
        <w:t>фамилию, имя и отчество соответствующего дарителя или наследодателя соответственно</w:t>
      </w:r>
      <w:r>
        <w:rPr>
          <w:rFonts w:cs="Times New Roman" w:ascii="Times New Roman" w:hAnsi="Times New Roman"/>
          <w:sz w:val="28"/>
          <w:szCs w:val="28"/>
        </w:rPr>
        <w:t>;</w:t>
      </w:r>
    </w:p>
    <w:p>
      <w:pPr>
        <w:pStyle w:val="Default"/>
        <w:numPr>
          <w:ilvl w:val="0"/>
          <w:numId w:val="6"/>
        </w:numPr>
        <w:tabs>
          <w:tab w:val="clear" w:pos="709"/>
          <w:tab w:val="left" w:pos="142" w:leader="none"/>
          <w:tab w:val="left" w:pos="1134" w:leader="none"/>
          <w:tab w:val="left" w:pos="1560" w:leader="none"/>
        </w:tabs>
        <w:ind w:left="0" w:firstLine="567"/>
        <w:rPr>
          <w:sz w:val="28"/>
          <w:szCs w:val="28"/>
        </w:rPr>
      </w:pPr>
      <w:r>
        <w:rPr>
          <w:sz w:val="28"/>
          <w:szCs w:val="28"/>
        </w:rPr>
        <w:t xml:space="preserve">возмещение вреда, причиненного увечьем или иным повреждением здоровья; </w:t>
      </w:r>
    </w:p>
    <w:p>
      <w:pPr>
        <w:pStyle w:val="Default"/>
        <w:numPr>
          <w:ilvl w:val="0"/>
          <w:numId w:val="6"/>
        </w:numPr>
        <w:tabs>
          <w:tab w:val="clear" w:pos="709"/>
          <w:tab w:val="left" w:pos="142" w:leader="none"/>
          <w:tab w:val="left" w:pos="1134" w:leader="none"/>
          <w:tab w:val="left" w:pos="1560" w:leader="none"/>
        </w:tabs>
        <w:ind w:left="0" w:firstLine="567"/>
        <w:rPr>
          <w:sz w:val="28"/>
          <w:szCs w:val="28"/>
        </w:rPr>
      </w:pPr>
      <w:r>
        <w:rPr>
          <w:sz w:val="28"/>
          <w:szCs w:val="28"/>
        </w:rPr>
        <w:t xml:space="preserve">выплаты, связанные с гибелью (смертью), выплаченные наследникам; </w:t>
      </w:r>
    </w:p>
    <w:p>
      <w:pPr>
        <w:pStyle w:val="ListParagraph"/>
        <w:numPr>
          <w:ilvl w:val="0"/>
          <w:numId w:val="6"/>
        </w:numPr>
        <w:tabs>
          <w:tab w:val="clear" w:pos="709"/>
          <w:tab w:val="left" w:pos="142" w:leader="none"/>
          <w:tab w:val="left" w:pos="1134" w:leader="none"/>
          <w:tab w:val="left" w:pos="1560" w:leader="none"/>
        </w:tabs>
        <w:ind w:left="0" w:firstLine="567"/>
        <w:rPr>
          <w:rFonts w:ascii="Times New Roman" w:hAnsi="Times New Roman"/>
          <w:sz w:val="28"/>
          <w:szCs w:val="28"/>
        </w:rPr>
      </w:pPr>
      <w:r>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Pr>
          <w:rFonts w:ascii="Times New Roman" w:hAnsi="Times New Roman"/>
          <w:sz w:val="28"/>
        </w:rPr>
        <w:t xml:space="preserve">подпункте 3 пункта </w:t>
      </w:r>
      <w:r>
        <w:rPr>
          <w:rFonts w:ascii="Times New Roman" w:hAnsi="Times New Roman"/>
          <w:sz w:val="28"/>
          <w:szCs w:val="28"/>
        </w:rPr>
        <w:t>211</w:t>
      </w:r>
      <w:r>
        <w:rPr>
          <w:rFonts w:ascii="Times New Roman" w:hAnsi="Times New Roman"/>
          <w:sz w:val="28"/>
        </w:rPr>
        <w:t xml:space="preserve"> настоящих Методических рекомендаций</w:t>
      </w:r>
      <w:r>
        <w:rPr>
          <w:rFonts w:ascii="Times New Roman" w:hAnsi="Times New Roman"/>
          <w:sz w:val="28"/>
          <w:szCs w:val="28"/>
        </w:rPr>
        <w:t>,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pPr>
        <w:pStyle w:val="Default"/>
        <w:numPr>
          <w:ilvl w:val="0"/>
          <w:numId w:val="6"/>
        </w:numPr>
        <w:tabs>
          <w:tab w:val="clear" w:pos="709"/>
          <w:tab w:val="left" w:pos="142" w:leader="none"/>
          <w:tab w:val="left" w:pos="1134" w:leader="none"/>
          <w:tab w:val="left" w:pos="1560" w:leader="none"/>
        </w:tabs>
        <w:ind w:left="0" w:firstLine="567"/>
        <w:rPr>
          <w:color w:val="auto"/>
          <w:sz w:val="28"/>
          <w:szCs w:val="28"/>
        </w:rPr>
      </w:pPr>
      <w:r>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Справку </w:t>
      </w:r>
      <w:r>
        <w:rPr>
          <w:sz w:val="28"/>
          <w:szCs w:val="28"/>
        </w:rPr>
        <w:t>о доходах и суммах налога физического лица</w:t>
      </w:r>
      <w:r>
        <w:rPr>
          <w:sz w:val="28"/>
        </w:rPr>
        <w:t xml:space="preserve"> </w:t>
      </w:r>
      <w:r>
        <w:rPr>
          <w:color w:val="auto"/>
          <w:sz w:val="28"/>
          <w:szCs w:val="28"/>
        </w:rPr>
        <w:t xml:space="preserve">по месту службы (работы) и не отражены в строке </w:t>
      </w:r>
      <w:r>
        <w:rPr>
          <w:b/>
          <w:color w:val="auto"/>
          <w:sz w:val="28"/>
        </w:rPr>
        <w:t>"Доход по основному месту работы"</w:t>
      </w:r>
      <w:r>
        <w:rPr>
          <w:color w:val="auto"/>
          <w:sz w:val="28"/>
          <w:szCs w:val="28"/>
        </w:rPr>
        <w:t xml:space="preserve">; </w:t>
      </w:r>
    </w:p>
    <w:p>
      <w:pPr>
        <w:pStyle w:val="ListParagraph"/>
        <w:numPr>
          <w:ilvl w:val="0"/>
          <w:numId w:val="6"/>
        </w:numPr>
        <w:tabs>
          <w:tab w:val="clear" w:pos="709"/>
          <w:tab w:val="left" w:pos="142" w:leader="none"/>
          <w:tab w:val="left" w:pos="1134" w:leader="none"/>
        </w:tabs>
        <w:ind w:left="0" w:firstLine="567"/>
        <w:rPr>
          <w:rFonts w:ascii="Times New Roman" w:hAnsi="Times New Roman" w:eastAsia="Times New Roman"/>
          <w:sz w:val="28"/>
          <w:szCs w:val="28"/>
        </w:rPr>
      </w:pPr>
      <w:r>
        <w:rPr>
          <w:rFonts w:eastAsia="Times New Roman" w:ascii="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(супруга) или несовершеннолетнего ребенка, то сведения о счете необходимо также отразить в разделе 4 справки;</w:t>
      </w:r>
    </w:p>
    <w:p>
      <w:pPr>
        <w:pStyle w:val="Default"/>
        <w:numPr>
          <w:ilvl w:val="0"/>
          <w:numId w:val="6"/>
        </w:numPr>
        <w:tabs>
          <w:tab w:val="clear" w:pos="709"/>
          <w:tab w:val="left" w:pos="142" w:leader="none"/>
          <w:tab w:val="left" w:pos="1134" w:leader="none"/>
        </w:tabs>
        <w:ind w:left="0" w:firstLine="567"/>
        <w:rPr>
          <w:sz w:val="28"/>
          <w:szCs w:val="28"/>
        </w:rPr>
      </w:pPr>
      <w:r>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pPr>
        <w:pStyle w:val="Default"/>
        <w:numPr>
          <w:ilvl w:val="0"/>
          <w:numId w:val="6"/>
        </w:numPr>
        <w:tabs>
          <w:tab w:val="clear" w:pos="709"/>
          <w:tab w:val="left" w:pos="142" w:leader="none"/>
          <w:tab w:val="left" w:pos="1134" w:leader="none"/>
        </w:tabs>
        <w:ind w:left="0" w:firstLine="567"/>
        <w:rPr>
          <w:sz w:val="28"/>
          <w:szCs w:val="28"/>
        </w:rPr>
      </w:pPr>
      <w:r>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pPr>
        <w:pStyle w:val="ListParagraph"/>
        <w:numPr>
          <w:ilvl w:val="0"/>
          <w:numId w:val="6"/>
        </w:numPr>
        <w:ind w:left="0" w:firstLine="567"/>
        <w:rPr>
          <w:rFonts w:ascii="Times New Roman" w:hAnsi="Times New Roman"/>
          <w:sz w:val="28"/>
          <w:szCs w:val="28"/>
        </w:rPr>
      </w:pPr>
      <w:r>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pPr>
        <w:pStyle w:val="Style22"/>
        <w:numPr>
          <w:ilvl w:val="0"/>
          <w:numId w:val="6"/>
        </w:numPr>
        <w:shd w:val="clear" w:color="auto" w:fill="auto"/>
        <w:tabs>
          <w:tab w:val="clear" w:pos="709"/>
          <w:tab w:val="left" w:pos="142" w:leader="none"/>
          <w:tab w:val="left" w:pos="1276" w:leader="none"/>
        </w:tabs>
        <w:spacing w:lineRule="auto" w:line="240" w:before="0" w:after="0"/>
        <w:ind w:left="0" w:firstLine="567"/>
        <w:rPr>
          <w:rStyle w:val="Style13"/>
          <w:rFonts w:ascii="Times New Roman" w:hAnsi="Times New Roman" w:cs="Times New Roman"/>
          <w:color w:val="000000"/>
          <w:sz w:val="28"/>
          <w:szCs w:val="28"/>
        </w:rPr>
      </w:pPr>
      <w:r>
        <w:rPr>
          <w:rStyle w:val="Style13"/>
          <w:rFonts w:cs="Times New Roman" w:ascii="Times New Roman" w:hAnsi="Times New Roman"/>
          <w:color w:val="000000"/>
          <w:sz w:val="28"/>
          <w:szCs w:val="28"/>
        </w:rPr>
        <w:t>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pPr>
        <w:pStyle w:val="Style22"/>
        <w:numPr>
          <w:ilvl w:val="0"/>
          <w:numId w:val="6"/>
        </w:numPr>
        <w:shd w:val="clear" w:color="auto" w:fill="auto"/>
        <w:tabs>
          <w:tab w:val="clear" w:pos="709"/>
          <w:tab w:val="left" w:pos="851" w:leader="none"/>
          <w:tab w:val="left" w:pos="1134" w:leader="none"/>
        </w:tabs>
        <w:spacing w:lineRule="auto" w:line="240" w:before="0" w:after="0"/>
        <w:ind w:left="0" w:firstLine="567"/>
        <w:rPr>
          <w:rFonts w:ascii="Times New Roman" w:hAnsi="Times New Roman" w:cs="Times New Roman"/>
          <w:color w:val="000000"/>
          <w:sz w:val="28"/>
          <w:szCs w:val="28"/>
          <w:shd w:fill="FFFFFF" w:val="clear"/>
        </w:rPr>
      </w:pPr>
      <w:r>
        <w:rPr>
          <w:rFonts w:cs="Times New Roman" w:ascii="Times New Roman" w:hAnsi="Times New Roman"/>
          <w:sz w:val="28"/>
          <w:szCs w:val="28"/>
        </w:rPr>
        <w:t>выплаты членам профсоюзных организаций, полученные от данных профсоюзных организаций;</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Pr>
          <w:rFonts w:ascii="Times New Roman" w:hAnsi="Times New Roman"/>
          <w:b/>
          <w:sz w:val="28"/>
        </w:rPr>
        <w:t>"Доход от педагогической и научной деятельности</w:t>
      </w:r>
      <w:r>
        <w:rPr>
          <w:rFonts w:eastAsia="Times New Roman" w:ascii="Times New Roman" w:hAnsi="Times New Roman"/>
          <w:b/>
          <w:sz w:val="28"/>
          <w:szCs w:val="28"/>
          <w:lang w:eastAsia="ru-RU"/>
        </w:rPr>
        <w:t>"</w:t>
      </w:r>
      <w:r>
        <w:rPr>
          <w:rFonts w:ascii="Times New Roman" w:hAnsi="Times New Roman"/>
          <w:sz w:val="28"/>
          <w:szCs w:val="28"/>
        </w:rPr>
        <w:t xml:space="preserve">, результаты иной творческой деятельности – в строке </w:t>
      </w:r>
      <w:r>
        <w:rPr>
          <w:rFonts w:ascii="Times New Roman" w:hAnsi="Times New Roman"/>
          <w:b/>
          <w:sz w:val="28"/>
        </w:rPr>
        <w:t>"Доход от иной творческой деятельности</w:t>
      </w:r>
      <w:r>
        <w:rPr>
          <w:rFonts w:eastAsia="Times New Roman" w:ascii="Times New Roman" w:hAnsi="Times New Roman"/>
          <w:b/>
          <w:sz w:val="28"/>
          <w:szCs w:val="28"/>
          <w:lang w:eastAsia="ru-RU"/>
        </w:rPr>
        <w:t>"</w:t>
      </w:r>
      <w:r>
        <w:rPr>
          <w:rFonts w:ascii="Times New Roman" w:hAnsi="Times New Roman"/>
          <w:sz w:val="28"/>
          <w:szCs w:val="28"/>
        </w:rPr>
        <w:t>;</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вознаграждение, полученное при осуществлении опеки или попечительства на возмездной основе;</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Pr>
          <w:rFonts w:ascii="Times New Roman" w:hAnsi="Times New Roman"/>
          <w:sz w:val="28"/>
        </w:rPr>
        <w:t xml:space="preserve">пунктом </w:t>
      </w:r>
      <w:r>
        <w:rPr>
          <w:rFonts w:ascii="Times New Roman" w:hAnsi="Times New Roman"/>
          <w:sz w:val="28"/>
          <w:szCs w:val="28"/>
        </w:rPr>
        <w:t>60</w:t>
      </w:r>
      <w:r>
        <w:rPr>
          <w:rFonts w:ascii="Times New Roman" w:hAnsi="Times New Roman"/>
          <w:sz w:val="28"/>
        </w:rPr>
        <w:t xml:space="preserve"> настоящих Методических рекомендаций</w:t>
      </w:r>
      <w:r>
        <w:rPr>
          <w:rFonts w:ascii="Times New Roman" w:hAnsi="Times New Roman"/>
          <w:sz w:val="28"/>
          <w:szCs w:val="28"/>
        </w:rPr>
        <w:t>);</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о доходах и суммах налога физического лица, полученную по основному месту службы (работы);</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Pr>
          <w:rStyle w:val="Style13"/>
          <w:rFonts w:cs="Times New Roman" w:ascii="Times New Roman" w:hAnsi="Times New Roman"/>
          <w:color w:val="000000"/>
          <w:sz w:val="28"/>
          <w:szCs w:val="28"/>
        </w:rPr>
        <w:t xml:space="preserve"> кроме случая, предусмотренного </w:t>
      </w:r>
      <w:r>
        <w:rPr>
          <w:rStyle w:val="Style13"/>
          <w:rFonts w:ascii="Times New Roman" w:hAnsi="Times New Roman"/>
          <w:color w:val="000000"/>
          <w:sz w:val="28"/>
        </w:rPr>
        <w:t xml:space="preserve">пунктом 39 </w:t>
      </w:r>
      <w:r>
        <w:rPr>
          <w:rStyle w:val="Style13"/>
          <w:rFonts w:cs="Times New Roman" w:ascii="Times New Roman" w:hAnsi="Times New Roman"/>
          <w:color w:val="000000"/>
          <w:sz w:val="28"/>
          <w:szCs w:val="28"/>
        </w:rPr>
        <w:t xml:space="preserve">настоящих </w:t>
      </w:r>
      <w:r>
        <w:rPr>
          <w:rStyle w:val="Style13"/>
          <w:rFonts w:ascii="Times New Roman" w:hAnsi="Times New Roman"/>
          <w:color w:val="000000"/>
          <w:sz w:val="28"/>
        </w:rPr>
        <w:t>Методических рекомендаций</w:t>
      </w:r>
      <w:r>
        <w:rPr>
          <w:rStyle w:val="Style13"/>
          <w:rFonts w:cs="Times New Roman" w:ascii="Times New Roman" w:hAnsi="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Pr>
          <w:rFonts w:ascii="Times New Roman" w:hAnsi="Times New Roman"/>
          <w:sz w:val="28"/>
          <w:szCs w:val="28"/>
        </w:rPr>
        <w:t>) и третьих лиц на невозвратной основе;</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доход, полученный по договорам переуступки прав требования на строящиеся объекты недвижимости;</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выплаченная ликвидационная стоимость ценных бумаг при ликвидации коммерческой организации;</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 xml:space="preserve">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 </w:t>
      </w:r>
    </w:p>
    <w:p>
      <w:pPr>
        <w:pStyle w:val="ListParagraph"/>
        <w:numPr>
          <w:ilvl w:val="0"/>
          <w:numId w:val="6"/>
        </w:numPr>
        <w:tabs>
          <w:tab w:val="clear" w:pos="709"/>
          <w:tab w:val="left" w:pos="1276" w:leader="none"/>
        </w:tabs>
        <w:ind w:left="0" w:firstLine="567"/>
        <w:rPr>
          <w:rFonts w:ascii="Times New Roman" w:hAnsi="Times New Roman"/>
          <w:sz w:val="28"/>
          <w:szCs w:val="28"/>
        </w:rPr>
      </w:pPr>
      <w:r>
        <w:rPr>
          <w:rFonts w:ascii="Times New Roman" w:hAnsi="Times New Roman"/>
          <w:sz w:val="28"/>
          <w:szCs w:val="28"/>
        </w:rPr>
        <w:t>иные аналогичные выплаты.</w:t>
      </w:r>
    </w:p>
    <w:p>
      <w:pPr>
        <w:pStyle w:val="ListParagraph"/>
        <w:numPr>
          <w:ilvl w:val="0"/>
          <w:numId w:val="1"/>
        </w:numPr>
        <w:ind w:left="0" w:firstLine="567"/>
        <w:rPr>
          <w:rFonts w:ascii="Times New Roman" w:hAnsi="Times New Roman" w:eastAsia="Times New Roman"/>
          <w:sz w:val="28"/>
          <w:szCs w:val="28"/>
        </w:rPr>
      </w:pPr>
      <w:r>
        <w:rPr>
          <w:rFonts w:eastAsia="Times New Roman" w:ascii="Times New Roman" w:hAnsi="Times New Roman"/>
          <w:sz w:val="28"/>
          <w:szCs w:val="28"/>
          <w:lang w:eastAsia="ru-RU"/>
        </w:rPr>
        <w:t xml:space="preserve">Также в строке </w:t>
      </w:r>
      <w:r>
        <w:rPr>
          <w:rFonts w:ascii="Times New Roman" w:hAnsi="Times New Roman"/>
          <w:b/>
          <w:sz w:val="28"/>
        </w:rPr>
        <w:t xml:space="preserve">"Иные доходы" </w:t>
      </w:r>
      <w:r>
        <w:rPr>
          <w:rFonts w:eastAsia="Times New Roman" w:ascii="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pPr>
        <w:pStyle w:val="Normal"/>
        <w:ind w:firstLine="567"/>
        <w:rPr>
          <w:rFonts w:ascii="Times New Roman" w:hAnsi="Times New Roman" w:eastAsia="Times New Roman"/>
          <w:sz w:val="28"/>
          <w:szCs w:val="28"/>
        </w:rPr>
      </w:pPr>
      <w:r>
        <w:rPr>
          <w:rFonts w:eastAsia="Times New Roman" w:ascii="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pPr>
        <w:pStyle w:val="ListParagraph"/>
        <w:numPr>
          <w:ilvl w:val="0"/>
          <w:numId w:val="1"/>
        </w:numPr>
        <w:ind w:left="0" w:firstLine="567"/>
        <w:rPr>
          <w:rFonts w:ascii="Times New Roman" w:hAnsi="Times New Roman" w:eastAsia="Times New Roman"/>
          <w:sz w:val="28"/>
          <w:szCs w:val="28"/>
        </w:rPr>
      </w:pPr>
      <w:r>
        <w:rPr>
          <w:rFonts w:eastAsia="Times New Roman" w:ascii="Times New Roman" w:hAnsi="Times New Roman"/>
          <w:sz w:val="28"/>
          <w:szCs w:val="28"/>
          <w:lang w:eastAsia="ru-RU"/>
        </w:rPr>
        <w:t xml:space="preserve">Доход, полученный в иностранной валюте, указывается в рублях по курсу Банка России на дату получения дохода (с учетом положений </w:t>
      </w:r>
      <w:r>
        <w:rPr>
          <w:rFonts w:ascii="Times New Roman" w:hAnsi="Times New Roman"/>
          <w:sz w:val="28"/>
        </w:rPr>
        <w:t xml:space="preserve">пункта </w:t>
      </w:r>
      <w:r>
        <w:rPr>
          <w:rFonts w:eastAsia="Times New Roman" w:ascii="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eastAsia="Times New Roman" w:ascii="Times New Roman" w:hAnsi="Times New Roman"/>
          <w:sz w:val="28"/>
          <w:szCs w:val="28"/>
          <w:lang w:eastAsia="ru-RU"/>
        </w:rPr>
        <w:t>).</w:t>
      </w:r>
      <w:r>
        <w:rPr>
          <w:rFonts w:ascii="Times New Roman" w:hAnsi="Times New Roman"/>
          <w:sz w:val="28"/>
          <w:szCs w:val="28"/>
        </w:rPr>
        <w:t xml:space="preserve"> </w:t>
      </w:r>
      <w:r>
        <w:rPr>
          <w:rFonts w:eastAsia="Times New Roman" w:ascii="Times New Roman" w:hAnsi="Times New Roman"/>
          <w:sz w:val="28"/>
          <w:szCs w:val="28"/>
          <w:lang w:eastAsia="ru-RU"/>
        </w:rPr>
        <w:t xml:space="preserve">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r>
        <w:rPr>
          <w:rFonts w:ascii="Times New Roman" w:hAnsi="Times New Roman"/>
          <w:sz w:val="28"/>
        </w:rPr>
        <w:t xml:space="preserve">пункта </w:t>
      </w:r>
      <w:r>
        <w:rPr>
          <w:rFonts w:eastAsia="Times New Roman" w:ascii="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eastAsia="Times New Roman" w:ascii="Times New Roman" w:hAnsi="Times New Roman"/>
          <w:sz w:val="28"/>
          <w:szCs w:val="28"/>
          <w:lang w:eastAsia="ru-RU"/>
        </w:rPr>
        <w:t>).</w:t>
      </w:r>
    </w:p>
    <w:p>
      <w:pPr>
        <w:pStyle w:val="ListParagraph"/>
        <w:numPr>
          <w:ilvl w:val="0"/>
          <w:numId w:val="1"/>
        </w:numPr>
        <w:ind w:left="0" w:firstLine="567"/>
        <w:rPr>
          <w:rFonts w:ascii="Times New Roman" w:hAnsi="Times New Roman" w:eastAsia="Times New Roman"/>
          <w:sz w:val="28"/>
          <w:szCs w:val="28"/>
        </w:rPr>
      </w:pPr>
      <w:r>
        <w:rPr>
          <w:rFonts w:eastAsia="Times New Roman" w:ascii="Times New Roman" w:hAnsi="Times New Roman"/>
          <w:sz w:val="28"/>
          <w:szCs w:val="28"/>
          <w:lang w:eastAsia="ru-RU"/>
        </w:rPr>
        <w:t xml:space="preserve">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 </w:t>
      </w:r>
    </w:p>
    <w:p>
      <w:pPr>
        <w:pStyle w:val="ListParagraph"/>
        <w:numPr>
          <w:ilvl w:val="0"/>
          <w:numId w:val="1"/>
        </w:numPr>
        <w:ind w:left="0" w:firstLine="567"/>
        <w:rPr>
          <w:rFonts w:ascii="Times New Roman" w:hAnsi="Times New Roman" w:eastAsia="Times New Roman"/>
          <w:sz w:val="28"/>
          <w:szCs w:val="28"/>
        </w:rPr>
      </w:pPr>
      <w:r>
        <w:rPr>
          <w:rFonts w:eastAsia="Times New Roman" w:ascii="Times New Roman" w:hAnsi="Times New Roman"/>
          <w:sz w:val="28"/>
          <w:szCs w:val="28"/>
          <w:lang w:eastAsia="ru-RU"/>
        </w:rPr>
        <w:t>Исключением является, например,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майнинга, как и цифровая валюта, полученная по иным основаниям (например, куплена, получена в дар и проч.), при ее наличии в собственности подлежит указанию в подразделе 3.5 раздела 3 справки.</w:t>
      </w:r>
    </w:p>
    <w:p>
      <w:pPr>
        <w:pStyle w:val="ListParagraph"/>
        <w:numPr>
          <w:ilvl w:val="0"/>
          <w:numId w:val="1"/>
        </w:numPr>
        <w:ind w:left="0" w:firstLine="567"/>
        <w:rPr>
          <w:rFonts w:ascii="Times New Roman" w:hAnsi="Times New Roman"/>
          <w:sz w:val="28"/>
          <w:szCs w:val="28"/>
        </w:rPr>
      </w:pPr>
      <w:r>
        <w:rPr>
          <w:rFonts w:eastAsia="Times New Roman" w:ascii="Times New Roman" w:hAnsi="Times New Roman"/>
          <w:sz w:val="28"/>
          <w:szCs w:val="28"/>
          <w:lang w:eastAsia="ru-RU"/>
        </w:rPr>
        <w:t>С учетом целей антико</w:t>
      </w:r>
      <w:r>
        <w:rPr>
          <w:rFonts w:eastAsia="Times New Roman" w:ascii="Times New Roman" w:hAnsi="Times New Roman"/>
          <w:color w:val="000000"/>
          <w:sz w:val="28"/>
          <w:szCs w:val="28"/>
          <w:lang w:eastAsia="ru-RU"/>
        </w:rPr>
        <w:t>р</w:t>
      </w:r>
      <w:r>
        <w:rPr>
          <w:rFonts w:eastAsia="Times New Roman" w:ascii="Times New Roman" w:hAnsi="Times New Roman"/>
          <w:sz w:val="28"/>
          <w:szCs w:val="28"/>
          <w:lang w:eastAsia="ru-RU"/>
        </w:rPr>
        <w:t xml:space="preserve">рупционного законодательства в строке </w:t>
      </w:r>
      <w:r>
        <w:rPr>
          <w:rFonts w:ascii="Times New Roman" w:hAnsi="Times New Roman"/>
          <w:b/>
          <w:sz w:val="28"/>
        </w:rPr>
        <w:t>"Иные доходы"</w:t>
      </w:r>
      <w:r>
        <w:rPr>
          <w:rFonts w:eastAsia="Times New Roman" w:ascii="Times New Roman" w:hAnsi="Times New Roman"/>
          <w:b/>
          <w:sz w:val="28"/>
          <w:szCs w:val="28"/>
          <w:lang w:eastAsia="ru-RU"/>
        </w:rPr>
        <w:t xml:space="preserve"> не указываются </w:t>
      </w:r>
      <w:r>
        <w:rPr>
          <w:rFonts w:eastAsia="Times New Roman" w:ascii="Times New Roman" w:hAnsi="Times New Roman"/>
          <w:sz w:val="28"/>
          <w:szCs w:val="28"/>
          <w:lang w:eastAsia="ru-RU"/>
        </w:rPr>
        <w:t xml:space="preserve">сведения о денежных средствах, касающихся </w:t>
      </w:r>
      <w:r>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pPr>
        <w:pStyle w:val="Normal"/>
        <w:ind w:firstLine="567"/>
        <w:rPr>
          <w:rFonts w:ascii="Times New Roman" w:hAnsi="Times New Roman"/>
          <w:sz w:val="28"/>
          <w:szCs w:val="28"/>
        </w:rPr>
      </w:pPr>
      <w:r>
        <w:rPr>
          <w:rFonts w:ascii="Times New Roman" w:hAnsi="Times New Roman"/>
          <w:sz w:val="28"/>
          <w:szCs w:val="28"/>
        </w:rPr>
        <w:t>1) со служебными командировками за счет средств работодателя;</w:t>
      </w:r>
    </w:p>
    <w:p>
      <w:pPr>
        <w:pStyle w:val="Normal"/>
        <w:ind w:firstLine="567"/>
        <w:rPr>
          <w:rFonts w:ascii="Times New Roman" w:hAnsi="Times New Roman"/>
          <w:sz w:val="28"/>
          <w:szCs w:val="28"/>
        </w:rPr>
      </w:pPr>
      <w:r>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pPr>
        <w:pStyle w:val="Normal"/>
        <w:ind w:firstLine="567"/>
        <w:rPr>
          <w:rFonts w:ascii="Times New Roman" w:hAnsi="Times New Roman"/>
          <w:sz w:val="28"/>
          <w:szCs w:val="28"/>
        </w:rPr>
      </w:pPr>
      <w:r>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pPr>
        <w:pStyle w:val="Normal"/>
        <w:ind w:firstLine="567"/>
        <w:rPr>
          <w:rFonts w:ascii="Times New Roman" w:hAnsi="Times New Roman"/>
          <w:sz w:val="28"/>
          <w:szCs w:val="28"/>
        </w:rPr>
      </w:pPr>
      <w:r>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pPr>
        <w:pStyle w:val="Normal"/>
        <w:ind w:firstLine="567"/>
        <w:rPr>
          <w:rFonts w:ascii="Times New Roman" w:hAnsi="Times New Roman"/>
          <w:sz w:val="28"/>
          <w:szCs w:val="28"/>
        </w:rPr>
      </w:pPr>
      <w:r>
        <w:rPr>
          <w:rFonts w:ascii="Times New Roman" w:hAnsi="Times New Roman"/>
          <w:sz w:val="28"/>
          <w:szCs w:val="28"/>
        </w:rPr>
        <w:t>5) с приобретением проездных документов для исполнения служебных (должностных) обязанностей;</w:t>
      </w:r>
    </w:p>
    <w:p>
      <w:pPr>
        <w:pStyle w:val="Normal"/>
        <w:ind w:firstLine="567"/>
        <w:rPr>
          <w:rFonts w:ascii="Times New Roman" w:hAnsi="Times New Roman"/>
          <w:sz w:val="28"/>
          <w:szCs w:val="28"/>
        </w:rPr>
      </w:pPr>
      <w:r>
        <w:rPr>
          <w:rFonts w:ascii="Times New Roman" w:hAnsi="Times New Roman"/>
          <w:sz w:val="28"/>
          <w:szCs w:val="28"/>
        </w:rPr>
        <w:t>6) с оплатой коммунальных и иных услуг, наймом жилого помещения;</w:t>
      </w:r>
    </w:p>
    <w:p>
      <w:pPr>
        <w:pStyle w:val="Normal"/>
        <w:ind w:firstLine="567"/>
        <w:rPr>
          <w:rFonts w:ascii="Times New Roman" w:hAnsi="Times New Roman"/>
          <w:sz w:val="28"/>
          <w:szCs w:val="28"/>
        </w:rPr>
      </w:pPr>
      <w:r>
        <w:rPr>
          <w:rFonts w:ascii="Times New Roman" w:hAnsi="Times New Roman"/>
          <w:sz w:val="28"/>
          <w:szCs w:val="28"/>
        </w:rPr>
        <w:t>7) с внесением родительской платы за посещение дошкольного образовательного учреждения;</w:t>
      </w:r>
    </w:p>
    <w:p>
      <w:pPr>
        <w:pStyle w:val="Normal"/>
        <w:ind w:firstLine="567"/>
        <w:rPr>
          <w:rFonts w:ascii="Times New Roman" w:hAnsi="Times New Roman"/>
          <w:sz w:val="28"/>
          <w:szCs w:val="28"/>
        </w:rPr>
      </w:pPr>
      <w:r>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pPr>
        <w:pStyle w:val="ListParagraph"/>
        <w:numPr>
          <w:ilvl w:val="0"/>
          <w:numId w:val="1"/>
        </w:numPr>
        <w:ind w:left="0" w:firstLine="567"/>
        <w:rPr>
          <w:rFonts w:ascii="Times New Roman" w:hAnsi="Times New Roman"/>
          <w:sz w:val="28"/>
          <w:szCs w:val="28"/>
          <w:lang w:eastAsia="ru-RU"/>
        </w:rPr>
      </w:pPr>
      <w:r>
        <w:rPr>
          <w:rFonts w:ascii="Times New Roman" w:hAnsi="Times New Roman"/>
          <w:sz w:val="28"/>
          <w:szCs w:val="28"/>
        </w:rPr>
        <w:t xml:space="preserve">Не указываются денежные средства, полученные в качестве компенсации, возмещения расходов, грантов (за исключением премий или иного денежного вознаграждения)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w:t>
      </w:r>
      <w:r>
        <w:rPr>
          <w:rFonts w:ascii="Times New Roman" w:hAnsi="Times New Roman"/>
          <w:sz w:val="28"/>
          <w:szCs w:val="28"/>
          <w:lang w:eastAsia="ru-RU"/>
        </w:rPr>
        <w:t>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Также не указываются сведения о денежных средствах, полученных:</w:t>
      </w:r>
    </w:p>
    <w:p>
      <w:pPr>
        <w:pStyle w:val="Normal"/>
        <w:ind w:firstLine="567"/>
        <w:rPr>
          <w:rFonts w:ascii="Times New Roman" w:hAnsi="Times New Roman"/>
          <w:sz w:val="28"/>
          <w:szCs w:val="28"/>
        </w:rPr>
      </w:pPr>
      <w:r>
        <w:rPr>
          <w:rFonts w:ascii="Times New Roman" w:hAnsi="Times New Roman"/>
          <w:sz w:val="28"/>
          <w:szCs w:val="28"/>
        </w:rPr>
        <w:t>1) в виде социального, имущественного, инвестиционного налогового вычета;</w:t>
      </w:r>
    </w:p>
    <w:p>
      <w:pPr>
        <w:pStyle w:val="Normal"/>
        <w:ind w:firstLine="567"/>
        <w:rPr>
          <w:rFonts w:ascii="Times New Roman" w:hAnsi="Times New Roman"/>
          <w:sz w:val="28"/>
          <w:szCs w:val="28"/>
        </w:rPr>
      </w:pPr>
      <w:r>
        <w:rPr>
          <w:rFonts w:ascii="Times New Roman" w:hAnsi="Times New Roman"/>
          <w:sz w:val="28"/>
          <w:szCs w:val="28"/>
        </w:rPr>
        <w:t>2) от продажи различного вида подарочных сертификатов (карт), выпущенных предприятиями торговли, салонами красоты и пр.;</w:t>
      </w:r>
    </w:p>
    <w:p>
      <w:pPr>
        <w:pStyle w:val="Normal"/>
        <w:ind w:firstLine="567"/>
        <w:rPr>
          <w:rFonts w:ascii="Times New Roman" w:hAnsi="Times New Roman"/>
          <w:sz w:val="28"/>
          <w:szCs w:val="28"/>
        </w:rPr>
      </w:pPr>
      <w:r>
        <w:rPr>
          <w:rFonts w:ascii="Times New Roman" w:hAnsi="Times New Roman"/>
          <w:sz w:val="28"/>
          <w:szCs w:val="28"/>
        </w:rPr>
        <w:t>3) </w:t>
      </w:r>
      <w:r>
        <w:rPr>
          <w:rFonts w:ascii="Times New Roman" w:hAnsi="Times New Roman"/>
          <w:color w:val="000000"/>
          <w:sz w:val="28"/>
          <w:szCs w:val="28"/>
        </w:rPr>
        <w:t>в качестве бонусных баллов</w:t>
      </w:r>
      <w:r>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Pr>
          <w:rFonts w:ascii="Times New Roman" w:hAnsi="Times New Roman"/>
          <w:color w:val="000000"/>
          <w:sz w:val="28"/>
          <w:szCs w:val="28"/>
        </w:rPr>
        <w:t>(</w:t>
      </w:r>
      <w:r>
        <w:rPr>
          <w:rFonts w:ascii="Times New Roman" w:hAnsi="Times New Roman"/>
          <w:sz w:val="28"/>
          <w:szCs w:val="28"/>
        </w:rPr>
        <w:t xml:space="preserve">"кешбэк сервис"), включая т.н. "туристический кешбэк", "детский кешбэк" и др.; </w:t>
      </w:r>
    </w:p>
    <w:p>
      <w:pPr>
        <w:pStyle w:val="Normal"/>
        <w:ind w:firstLine="567"/>
        <w:rPr>
          <w:rFonts w:ascii="Times New Roman" w:hAnsi="Times New Roman"/>
          <w:sz w:val="28"/>
          <w:szCs w:val="28"/>
        </w:rPr>
      </w:pPr>
      <w:r>
        <w:rPr>
          <w:rFonts w:ascii="Times New Roman" w:hAnsi="Times New Roman"/>
          <w:sz w:val="28"/>
          <w:szCs w:val="28"/>
        </w:rPr>
        <w:t>4) 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Pr>
          <w:rFonts w:ascii="Times New Roman" w:hAnsi="Times New Roman"/>
          <w:sz w:val="28"/>
          <w:szCs w:val="28"/>
          <w:lang w:val="en-US"/>
        </w:rPr>
        <w:t>Tax</w:t>
      </w:r>
      <w:r>
        <w:rPr>
          <w:rFonts w:ascii="Times New Roman" w:hAnsi="Times New Roman"/>
          <w:sz w:val="28"/>
          <w:szCs w:val="28"/>
        </w:rPr>
        <w:t>-</w:t>
      </w:r>
      <w:r>
        <w:rPr>
          <w:rFonts w:ascii="Times New Roman" w:hAnsi="Times New Roman"/>
          <w:sz w:val="28"/>
          <w:szCs w:val="28"/>
          <w:lang w:val="en-US"/>
        </w:rPr>
        <w:t>free</w:t>
      </w:r>
      <w:r>
        <w:rPr>
          <w:rFonts w:ascii="Times New Roman" w:hAnsi="Times New Roman"/>
          <w:sz w:val="28"/>
          <w:szCs w:val="28"/>
        </w:rPr>
        <w:t>;</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6) в качестве вознаграждения донорам за сданную кровь, ее компонентов (и иную помощь);</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pPr>
        <w:pStyle w:val="Normal"/>
        <w:ind w:firstLine="567"/>
        <w:rPr>
          <w:rFonts w:ascii="Times New Roman" w:hAnsi="Times New Roman"/>
          <w:sz w:val="28"/>
          <w:szCs w:val="28"/>
        </w:rPr>
      </w:pPr>
      <w:r>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 xml:space="preserve">10) в качестве перевода (между супругами и (или) несовершеннолетними детьми (аналогично в части, касающейся наличных денежных средств), </w:t>
      </w:r>
      <w:r>
        <w:rPr>
          <w:rStyle w:val="Style13"/>
          <w:rFonts w:cs="Times New Roman" w:ascii="Times New Roman" w:hAnsi="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Pr>
          <w:rFonts w:ascii="Times New Roman" w:hAnsi="Times New Roman"/>
          <w:sz w:val="28"/>
          <w:szCs w:val="28"/>
        </w:rPr>
        <w:t>;</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11) в связи с возвратом денежных средств по несостоявшемуся договору купли-продажи;</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pPr>
        <w:pStyle w:val="Normal"/>
        <w:tabs>
          <w:tab w:val="left" w:pos="709" w:leader="none"/>
        </w:tabs>
        <w:ind w:firstLine="567"/>
        <w:rPr>
          <w:rFonts w:ascii="Times New Roman" w:hAnsi="Times New Roman"/>
          <w:sz w:val="28"/>
          <w:szCs w:val="28"/>
        </w:rPr>
      </w:pPr>
      <w:r>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pPr>
        <w:pStyle w:val="Normal"/>
        <w:tabs>
          <w:tab w:val="left" w:pos="709" w:leader="none"/>
        </w:tabs>
        <w:ind w:firstLine="567"/>
        <w:rPr>
          <w:rStyle w:val="Style13"/>
          <w:rFonts w:ascii="Times New Roman" w:hAnsi="Times New Roman" w:cs="Times New Roman"/>
          <w:color w:val="000000"/>
          <w:sz w:val="28"/>
          <w:szCs w:val="28"/>
        </w:rPr>
      </w:pPr>
      <w:r>
        <w:rPr>
          <w:rFonts w:ascii="Times New Roman" w:hAnsi="Times New Roman"/>
          <w:sz w:val="28"/>
          <w:szCs w:val="28"/>
        </w:rPr>
        <w:t>14) на специальный избирательный счет в соответствии с</w:t>
      </w:r>
      <w:r>
        <w:rPr>
          <w:rStyle w:val="Style13"/>
          <w:rFonts w:cs="Times New Roman" w:ascii="Times New Roman" w:hAnsi="Times New Roman"/>
          <w:color w:val="000000"/>
          <w:sz w:val="28"/>
          <w:szCs w:val="28"/>
        </w:rPr>
        <w:t xml:space="preserve"> Федеральным законом</w:t>
      </w:r>
      <w:r>
        <w:rPr>
          <w:rFonts w:ascii="Times New Roman" w:hAnsi="Times New Roman"/>
          <w:sz w:val="28"/>
          <w:szCs w:val="28"/>
        </w:rPr>
        <w:t xml:space="preserve"> </w:t>
      </w:r>
      <w:r>
        <w:rPr>
          <w:rStyle w:val="Style13"/>
          <w:rFonts w:cs="Times New Roman" w:ascii="Times New Roman" w:hAnsi="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pPr>
        <w:pStyle w:val="Normal"/>
        <w:tabs>
          <w:tab w:val="left" w:pos="709" w:leader="none"/>
        </w:tabs>
        <w:ind w:firstLine="567"/>
        <w:rPr>
          <w:rStyle w:val="Style13"/>
          <w:rFonts w:ascii="Times New Roman" w:hAnsi="Times New Roman" w:cs="Times New Roman"/>
          <w:color w:val="000000"/>
          <w:sz w:val="28"/>
          <w:szCs w:val="28"/>
        </w:rPr>
      </w:pPr>
      <w:r>
        <w:rPr>
          <w:rStyle w:val="Style13"/>
          <w:rFonts w:cs="Times New Roman" w:ascii="Times New Roman" w:hAnsi="Times New Roman"/>
          <w:color w:val="000000"/>
          <w:sz w:val="28"/>
          <w:szCs w:val="28"/>
        </w:rPr>
        <w:t>15) от продажи иностранной валюты (в том числе в случае наличия сведений о таких денежных средствах в информации, полученной в рамках Указания Банка России № 5798-У).</w:t>
      </w:r>
    </w:p>
    <w:p>
      <w:pPr>
        <w:pStyle w:val="ListParagraph"/>
        <w:numPr>
          <w:ilvl w:val="0"/>
          <w:numId w:val="1"/>
        </w:numPr>
        <w:ind w:left="0" w:firstLine="709"/>
        <w:rPr>
          <w:rFonts w:ascii="Times New Roman" w:hAnsi="Times New Roman"/>
          <w:sz w:val="28"/>
          <w:szCs w:val="28"/>
        </w:rPr>
      </w:pPr>
      <w:r>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Pr>
          <w:rFonts w:eastAsia="Times New Roman" w:ascii="Times New Roman" w:hAnsi="Times New Roman"/>
          <w:sz w:val="28"/>
          <w:szCs w:val="28"/>
          <w:lang w:eastAsia="ru-RU"/>
        </w:rPr>
        <w:t xml:space="preserve">не подлежит отражению в разделе 1 справки. </w:t>
      </w:r>
    </w:p>
    <w:p>
      <w:pPr>
        <w:pStyle w:val="ListParagraph"/>
        <w:ind w:left="0" w:firstLine="709"/>
        <w:rPr>
          <w:rFonts w:ascii="Times New Roman" w:hAnsi="Times New Roman"/>
          <w:sz w:val="28"/>
          <w:szCs w:val="28"/>
        </w:rPr>
      </w:pPr>
      <w:r>
        <w:rPr>
          <w:rFonts w:ascii="Times New Roman" w:hAnsi="Times New Roman"/>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Служащему (работнику) целесообразно заблаговременно осуществлять сбор, систематизацию и хранение документов, подтверждающих факт получения дохода либо его отсутствия.</w:t>
      </w:r>
    </w:p>
    <w:p>
      <w:pPr>
        <w:pStyle w:val="ListParagraph"/>
        <w:ind w:left="567" w:hanging="0"/>
        <w:rPr>
          <w:rFonts w:ascii="Times New Roman" w:hAnsi="Times New Roman"/>
          <w:sz w:val="28"/>
          <w:szCs w:val="28"/>
        </w:rPr>
      </w:pPr>
      <w:r>
        <w:rPr>
          <w:rFonts w:ascii="Times New Roman" w:hAnsi="Times New Roman"/>
          <w:sz w:val="28"/>
          <w:szCs w:val="28"/>
        </w:rPr>
      </w:r>
    </w:p>
    <w:p>
      <w:pPr>
        <w:pStyle w:val="Normal"/>
        <w:tabs>
          <w:tab w:val="left" w:pos="709" w:leader="none"/>
        </w:tabs>
        <w:ind w:hanging="0"/>
        <w:jc w:val="center"/>
        <w:rPr>
          <w:rFonts w:ascii="Times New Roman" w:hAnsi="Times New Roman"/>
          <w:b/>
          <w:sz w:val="28"/>
          <w:szCs w:val="28"/>
        </w:rPr>
      </w:pPr>
      <w:r>
        <w:rPr>
          <w:rFonts w:ascii="Times New Roman" w:hAnsi="Times New Roman"/>
          <w:b/>
          <w:sz w:val="28"/>
          <w:szCs w:val="28"/>
        </w:rPr>
        <w:t>РАЗДЕЛ 2. СВЕДЕНИЯ О РАСХОДАХ</w:t>
      </w:r>
    </w:p>
    <w:p>
      <w:pPr>
        <w:pStyle w:val="Normal"/>
        <w:ind w:firstLine="851"/>
        <w:jc w:val="center"/>
        <w:rPr>
          <w:rFonts w:ascii="Times New Roman" w:hAnsi="Times New Roman"/>
          <w:b/>
          <w:sz w:val="28"/>
          <w:szCs w:val="28"/>
        </w:rPr>
      </w:pPr>
      <w:r>
        <w:rPr>
          <w:rFonts w:ascii="Times New Roman" w:hAnsi="Times New Roman"/>
          <w:b/>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Данный раздел справки </w:t>
      </w:r>
      <w:r>
        <w:rPr>
          <w:rFonts w:ascii="Times New Roman" w:hAnsi="Times New Roman"/>
          <w:b/>
          <w:sz w:val="28"/>
          <w:szCs w:val="28"/>
        </w:rPr>
        <w:t>заполняется только</w:t>
      </w:r>
      <w:r>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2025 году сообщаются сведения о расходах по сделкам, совершенным в 2024 году. </w:t>
      </w:r>
    </w:p>
    <w:p>
      <w:pPr>
        <w:pStyle w:val="Normal"/>
        <w:ind w:firstLine="567"/>
        <w:rPr>
          <w:rFonts w:ascii="Times New Roman" w:hAnsi="Times New Roman"/>
          <w:sz w:val="28"/>
          <w:szCs w:val="28"/>
        </w:rPr>
      </w:pPr>
      <w:r>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Pr>
          <w:rFonts w:ascii="Times New Roman" w:hAnsi="Times New Roman"/>
          <w:b/>
          <w:sz w:val="28"/>
        </w:rPr>
        <w:t>"Сумма сделки"</w:t>
      </w:r>
      <w:r>
        <w:rPr>
          <w:rFonts w:ascii="Times New Roman" w:hAnsi="Times New Roman"/>
          <w:sz w:val="28"/>
          <w:szCs w:val="28"/>
        </w:rPr>
        <w:t xml:space="preserve"> применимых справок рекомендуется указывать полную стоимость.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Данный раздел справки также подлежит заполнению при наличии обстоятельств, перечисленных в </w:t>
      </w:r>
      <w:r>
        <w:rPr>
          <w:rFonts w:ascii="Times New Roman" w:hAnsi="Times New Roman"/>
          <w:sz w:val="28"/>
        </w:rPr>
        <w:t xml:space="preserve">пункте </w:t>
      </w:r>
      <w:r>
        <w:rPr>
          <w:rFonts w:ascii="Times New Roman" w:hAnsi="Times New Roman"/>
          <w:sz w:val="28"/>
          <w:szCs w:val="28"/>
        </w:rPr>
        <w:t>87</w:t>
      </w:r>
      <w:r>
        <w:rPr>
          <w:rFonts w:ascii="Times New Roman" w:hAnsi="Times New Roman"/>
          <w:sz w:val="28"/>
        </w:rPr>
        <w:t xml:space="preserve"> настоящих Методических рекомендаций</w:t>
      </w:r>
      <w:r>
        <w:rPr>
          <w:rFonts w:ascii="Times New Roman" w:hAnsi="Times New Roman"/>
          <w:sz w:val="28"/>
          <w:szCs w:val="28"/>
        </w:rPr>
        <w:t>,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Граждане, поступающие на службу (работу), раздел 2 справки не заполняют.</w:t>
      </w:r>
    </w:p>
    <w:p>
      <w:pPr>
        <w:pStyle w:val="ListParagraph"/>
        <w:ind w:left="0" w:firstLine="567"/>
        <w:rPr>
          <w:rFonts w:ascii="Times New Roman" w:hAnsi="Times New Roman"/>
          <w:sz w:val="28"/>
          <w:szCs w:val="28"/>
        </w:rPr>
      </w:pPr>
      <w:r>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pPr>
        <w:pStyle w:val="ListParagraph"/>
        <w:ind w:left="0" w:firstLine="567"/>
        <w:rPr>
          <w:rFonts w:ascii="Times New Roman" w:hAnsi="Times New Roman"/>
          <w:sz w:val="28"/>
          <w:szCs w:val="28"/>
        </w:rPr>
      </w:pPr>
      <w:r>
        <w:rPr>
          <w:rFonts w:ascii="Times New Roman" w:hAnsi="Times New Roman"/>
          <w:sz w:val="28"/>
          <w:szCs w:val="28"/>
        </w:rPr>
        <w:t xml:space="preserve">Сведения о расходах не представляются также при представлении справки </w:t>
        <w:b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pPr>
        <w:pStyle w:val="ListParagraph"/>
        <w:ind w:left="0" w:firstLine="567"/>
        <w:rPr>
          <w:rFonts w:ascii="Times New Roman" w:hAnsi="Times New Roman"/>
          <w:sz w:val="28"/>
          <w:szCs w:val="28"/>
        </w:rPr>
      </w:pPr>
      <w:r>
        <w:rPr>
          <w:rFonts w:ascii="Times New Roman" w:hAnsi="Times New Roman"/>
          <w:sz w:val="28"/>
          <w:szCs w:val="28"/>
        </w:rPr>
        <w:t xml:space="preserve">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Заполнение данного раздела при отсутствии указанных в </w:t>
      </w:r>
      <w:r>
        <w:rPr>
          <w:rFonts w:ascii="Times New Roman" w:hAnsi="Times New Roman"/>
          <w:sz w:val="28"/>
        </w:rPr>
        <w:t xml:space="preserve">пункте </w:t>
      </w:r>
      <w:r>
        <w:rPr>
          <w:rFonts w:ascii="Times New Roman" w:hAnsi="Times New Roman"/>
          <w:sz w:val="28"/>
          <w:szCs w:val="28"/>
        </w:rPr>
        <w:t>87</w:t>
      </w:r>
      <w:r>
        <w:rPr>
          <w:rFonts w:ascii="Times New Roman" w:hAnsi="Times New Roman"/>
          <w:sz w:val="28"/>
        </w:rPr>
        <w:t xml:space="preserve"> настоящих Методических рекомендаци</w:t>
      </w:r>
      <w:r>
        <w:rPr>
          <w:rFonts w:ascii="Times New Roman" w:hAnsi="Times New Roman"/>
          <w:sz w:val="28"/>
          <w:szCs w:val="28"/>
        </w:rPr>
        <w:t>й оснований не является нарушением.</w:t>
      </w:r>
    </w:p>
    <w:p>
      <w:pPr>
        <w:pStyle w:val="ListParagraph"/>
        <w:numPr>
          <w:ilvl w:val="0"/>
          <w:numId w:val="1"/>
        </w:numPr>
        <w:ind w:left="0" w:firstLine="567"/>
        <w:rPr>
          <w:rFonts w:ascii="Times New Roman" w:hAnsi="Times New Roman"/>
          <w:sz w:val="28"/>
          <w:szCs w:val="28"/>
        </w:rPr>
      </w:pPr>
      <w:r>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2024 году, суммируются доходы служащего (работника) и его супруги (супруга), полученные в 2021, 2022 и 2023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общего дохода из него не вычитаются иные расходы, например, связанные с отпуском, оплатой </w:t>
      </w:r>
      <w:r>
        <w:rPr>
          <w:rFonts w:ascii="Times New Roman" w:hAnsi="Times New Roman"/>
          <w:sz w:val="28"/>
          <w:szCs w:val="28"/>
        </w:rPr>
        <w:t>жилищно-коммунальных услуг и т.п.</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Для цели реализации </w:t>
      </w:r>
      <w:r>
        <w:rPr>
          <w:rFonts w:ascii="Times New Roman" w:hAnsi="Times New Roman"/>
          <w:sz w:val="28"/>
        </w:rPr>
        <w:t xml:space="preserve">пункта </w:t>
      </w:r>
      <w:r>
        <w:rPr>
          <w:rFonts w:ascii="Times New Roman" w:hAnsi="Times New Roman"/>
          <w:sz w:val="28"/>
          <w:szCs w:val="28"/>
        </w:rPr>
        <w:t>87</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pPr>
        <w:pStyle w:val="ListParagraph"/>
        <w:ind w:left="0" w:firstLine="567"/>
        <w:rPr>
          <w:rFonts w:ascii="Times New Roman" w:hAnsi="Times New Roman"/>
          <w:sz w:val="28"/>
          <w:szCs w:val="28"/>
        </w:rPr>
      </w:pPr>
      <w:r>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pPr>
        <w:pStyle w:val="ListParagraph"/>
        <w:numPr>
          <w:ilvl w:val="0"/>
          <w:numId w:val="1"/>
        </w:numPr>
        <w:tabs>
          <w:tab w:val="clear" w:pos="709"/>
          <w:tab w:val="left" w:pos="0" w:leader="none"/>
          <w:tab w:val="left" w:pos="1418" w:leader="none"/>
        </w:tabs>
        <w:ind w:left="0" w:firstLine="567"/>
        <w:rPr>
          <w:rFonts w:ascii="Times New Roman" w:hAnsi="Times New Roman"/>
          <w:sz w:val="28"/>
          <w:szCs w:val="28"/>
        </w:rPr>
      </w:pPr>
      <w:r>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pPr>
        <w:pStyle w:val="ListParagraph"/>
        <w:tabs>
          <w:tab w:val="clear" w:pos="709"/>
          <w:tab w:val="left" w:pos="0" w:leader="none"/>
          <w:tab w:val="left" w:pos="1418" w:leader="none"/>
        </w:tabs>
        <w:ind w:left="0" w:firstLine="567"/>
        <w:rPr>
          <w:rFonts w:ascii="Times New Roman" w:hAnsi="Times New Roman"/>
          <w:sz w:val="28"/>
          <w:szCs w:val="28"/>
        </w:rPr>
      </w:pPr>
      <w:r>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Данный раздел </w:t>
      </w:r>
      <w:r>
        <w:rPr>
          <w:rFonts w:ascii="Times New Roman" w:hAnsi="Times New Roman"/>
          <w:b/>
          <w:sz w:val="28"/>
          <w:szCs w:val="28"/>
        </w:rPr>
        <w:t>не заполняется</w:t>
      </w:r>
      <w:r>
        <w:rPr>
          <w:rFonts w:ascii="Times New Roman" w:hAnsi="Times New Roman"/>
          <w:sz w:val="28"/>
          <w:szCs w:val="28"/>
        </w:rPr>
        <w:t xml:space="preserve"> в следующих случаях:</w:t>
      </w:r>
    </w:p>
    <w:p>
      <w:pPr>
        <w:pStyle w:val="ListParagraph"/>
        <w:ind w:left="0" w:firstLine="567"/>
        <w:rPr>
          <w:rFonts w:ascii="Times New Roman" w:hAnsi="Times New Roman"/>
          <w:sz w:val="28"/>
          <w:szCs w:val="28"/>
        </w:rPr>
      </w:pPr>
      <w:r>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pPr>
        <w:pStyle w:val="Normal"/>
        <w:ind w:firstLine="567"/>
        <w:rPr>
          <w:rFonts w:ascii="Times New Roman" w:hAnsi="Times New Roman"/>
          <w:sz w:val="28"/>
          <w:szCs w:val="28"/>
        </w:rPr>
      </w:pPr>
      <w:r>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а также если цифровая валюта получена в результате осуществления майнинга или участия в майнинг-пуле. При этом такое имущество отражается в соответствующих разделах справки;</w:t>
      </w:r>
    </w:p>
    <w:p>
      <w:pPr>
        <w:pStyle w:val="Normal"/>
        <w:ind w:firstLine="567"/>
        <w:rPr>
          <w:rFonts w:ascii="Times New Roman" w:hAnsi="Times New Roman"/>
          <w:sz w:val="28"/>
          <w:szCs w:val="28"/>
        </w:rPr>
      </w:pPr>
      <w:r>
        <w:rPr>
          <w:rFonts w:ascii="Times New Roman" w:hAnsi="Times New Roman"/>
          <w:sz w:val="28"/>
          <w:szCs w:val="28"/>
        </w:rP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графы </w:t>
      </w:r>
      <w:r>
        <w:rPr>
          <w:rFonts w:ascii="Times New Roman" w:hAnsi="Times New Roman"/>
          <w:b/>
          <w:sz w:val="28"/>
        </w:rPr>
        <w:t>"</w:t>
      </w:r>
      <w:r>
        <w:rPr>
          <w:rFonts w:ascii="Times New Roman" w:hAnsi="Times New Roman"/>
          <w:b/>
          <w:sz w:val="28"/>
          <w:szCs w:val="28"/>
        </w:rPr>
        <w:t>Вид приобретенного имущества</w:t>
      </w:r>
      <w:r>
        <w:rPr>
          <w:rFonts w:ascii="Times New Roman" w:hAnsi="Times New Roman"/>
          <w:b/>
          <w:sz w:val="28"/>
        </w:rPr>
        <w:t>"</w:t>
      </w:r>
      <w:r>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графы </w:t>
      </w:r>
      <w:r>
        <w:rPr>
          <w:rFonts w:ascii="Times New Roman" w:hAnsi="Times New Roman"/>
          <w:b/>
          <w:sz w:val="28"/>
        </w:rPr>
        <w:t>"</w:t>
      </w:r>
      <w:r>
        <w:rPr>
          <w:rFonts w:ascii="Times New Roman" w:hAnsi="Times New Roman"/>
          <w:b/>
          <w:sz w:val="28"/>
          <w:szCs w:val="28"/>
        </w:rPr>
        <w:t>Источник получения средств, за счет которых приобретено имущество</w:t>
      </w:r>
      <w:r>
        <w:rPr>
          <w:rFonts w:ascii="Times New Roman" w:hAnsi="Times New Roman"/>
          <w:b/>
          <w:sz w:val="28"/>
        </w:rPr>
        <w:t>"</w:t>
      </w:r>
      <w:r>
        <w:rPr>
          <w:rFonts w:ascii="Times New Roman" w:hAnsi="Times New Roman"/>
          <w:b/>
          <w:sz w:val="28"/>
          <w:szCs w:val="28"/>
        </w:rPr>
        <w:t xml:space="preserve"> </w:t>
      </w:r>
      <w:r>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pPr>
        <w:pStyle w:val="ConsPlusNormal"/>
        <w:numPr>
          <w:ilvl w:val="0"/>
          <w:numId w:val="1"/>
        </w:numPr>
        <w:ind w:left="0" w:firstLine="567"/>
        <w:jc w:val="both"/>
        <w:rPr/>
      </w:pPr>
      <w:r>
        <w:rPr/>
        <w:t xml:space="preserve">В графе </w:t>
      </w:r>
      <w:r>
        <w:rPr>
          <w:b/>
        </w:rPr>
        <w:t xml:space="preserve">"Основания приобретения имущества" </w:t>
      </w:r>
      <w:r>
        <w:rPr/>
        <w:t>указываются регистрационный номер и дата записи в Едином государственном реестре недвижимости (ЕГРН)</w:t>
      </w:r>
      <w:r>
        <w:rPr>
          <w:bCs/>
        </w:rPr>
        <w:t xml:space="preserve">. Также указываются </w:t>
      </w:r>
      <w:r>
        <w:rPr/>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pPr>
        <w:pStyle w:val="ConsPlusNormal"/>
        <w:ind w:firstLine="567"/>
        <w:jc w:val="both"/>
        <w:rPr/>
      </w:pPr>
      <w:r>
        <w:rPr/>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pPr>
        <w:pStyle w:val="ConsPlusNormal"/>
        <w:ind w:firstLine="567"/>
        <w:jc w:val="both"/>
        <w:rPr/>
      </w:pPr>
      <w:r>
        <w:rPr/>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pPr>
        <w:pStyle w:val="ConsPlusNormal"/>
        <w:ind w:firstLine="567"/>
        <w:jc w:val="both"/>
        <w:rPr/>
      </w:pPr>
      <w:r>
        <w:rPr/>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pPr>
        <w:pStyle w:val="ConsPlusNormal"/>
        <w:numPr>
          <w:ilvl w:val="0"/>
          <w:numId w:val="1"/>
        </w:numPr>
        <w:ind w:left="0" w:firstLine="567"/>
        <w:jc w:val="both"/>
        <w:rPr/>
      </w:pPr>
      <w:r>
        <w:rPr>
          <w:b/>
        </w:rPr>
        <w:t>Особенности заполнения раздела "Сведения о расходах"</w:t>
      </w:r>
      <w:r>
        <w:rPr/>
        <w:t>:</w:t>
      </w:r>
    </w:p>
    <w:p>
      <w:pPr>
        <w:pStyle w:val="Normal"/>
        <w:ind w:firstLine="567"/>
        <w:rPr>
          <w:rFonts w:ascii="Times New Roman" w:hAnsi="Times New Roman"/>
          <w:sz w:val="28"/>
          <w:szCs w:val="28"/>
        </w:rPr>
      </w:pPr>
      <w:r>
        <w:rPr>
          <w:rFonts w:ascii="Times New Roman" w:hAnsi="Times New Roman"/>
          <w:b/>
          <w:sz w:val="28"/>
          <w:szCs w:val="28"/>
        </w:rPr>
        <w:t>1) приобретение недвижимого имущества посредством участия в долевом строительстве.</w:t>
      </w:r>
      <w:r>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pPr>
        <w:pStyle w:val="Normal"/>
        <w:ind w:firstLine="567"/>
        <w:rPr>
          <w:rFonts w:ascii="Times New Roman" w:hAnsi="Times New Roman"/>
          <w:sz w:val="28"/>
          <w:szCs w:val="28"/>
        </w:rPr>
      </w:pPr>
      <w:r>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pPr>
        <w:pStyle w:val="Normal"/>
        <w:ind w:firstLine="567"/>
        <w:rPr>
          <w:rFonts w:ascii="Times New Roman" w:hAnsi="Times New Roman"/>
          <w:sz w:val="28"/>
          <w:szCs w:val="28"/>
        </w:rPr>
      </w:pPr>
      <w:r>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pPr>
        <w:pStyle w:val="Normal"/>
        <w:ind w:firstLine="567"/>
        <w:rPr>
          <w:rFonts w:ascii="Times New Roman" w:hAnsi="Times New Roman"/>
          <w:sz w:val="28"/>
          <w:szCs w:val="28"/>
        </w:rPr>
      </w:pPr>
      <w:r>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pPr>
        <w:pStyle w:val="Normal"/>
        <w:shd w:val="clear" w:color="auto" w:fill="FFFFFF"/>
        <w:ind w:firstLine="567"/>
        <w:rPr>
          <w:rFonts w:ascii="Times New Roman" w:hAnsi="Times New Roman"/>
          <w:sz w:val="28"/>
          <w:szCs w:val="28"/>
        </w:rPr>
      </w:pPr>
      <w:r>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Pr>
          <w:rFonts w:ascii="Times New Roman" w:hAnsi="Times New Roman"/>
          <w:spacing w:val="2"/>
          <w:sz w:val="28"/>
          <w:szCs w:val="28"/>
        </w:rPr>
        <w:t xml:space="preserve">собственности на недвижимое имущество, приобретенное на основании </w:t>
      </w:r>
      <w:r>
        <w:rPr>
          <w:rFonts w:ascii="Times New Roman" w:hAnsi="Times New Roman"/>
          <w:spacing w:val="1"/>
          <w:sz w:val="28"/>
          <w:szCs w:val="28"/>
        </w:rPr>
        <w:t xml:space="preserve">договора долевого участия, сведения об этом имуществе подлежат указанию </w:t>
      </w:r>
      <w:r>
        <w:rPr>
          <w:rFonts w:ascii="Times New Roman" w:hAnsi="Times New Roman"/>
          <w:sz w:val="28"/>
          <w:szCs w:val="28"/>
        </w:rPr>
        <w:t>в подразделе 3.1 раздела 3 справки;</w:t>
      </w:r>
    </w:p>
    <w:p>
      <w:pPr>
        <w:pStyle w:val="Normal"/>
        <w:ind w:firstLine="567"/>
        <w:rPr>
          <w:rFonts w:ascii="Times New Roman" w:hAnsi="Times New Roman"/>
          <w:sz w:val="28"/>
          <w:szCs w:val="28"/>
        </w:rPr>
      </w:pPr>
      <w:r>
        <w:rPr>
          <w:rFonts w:ascii="Times New Roman" w:hAnsi="Times New Roman"/>
          <w:b/>
          <w:sz w:val="28"/>
          <w:szCs w:val="28"/>
        </w:rPr>
        <w:t>2) приобретение недвижимого имущества посредством участия в кооперативе.</w:t>
      </w:r>
      <w:r>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pPr>
        <w:pStyle w:val="Normal"/>
        <w:ind w:firstLine="567"/>
        <w:rPr>
          <w:rFonts w:ascii="Times New Roman" w:hAnsi="Times New Roman"/>
          <w:sz w:val="28"/>
          <w:szCs w:val="28"/>
        </w:rPr>
      </w:pPr>
      <w:r>
        <w:rPr>
          <w:rFonts w:ascii="Times New Roman" w:hAnsi="Times New Roman"/>
          <w:b/>
          <w:sz w:val="28"/>
          <w:szCs w:val="28"/>
        </w:rPr>
        <w:t>3) приобретение ценных бумаг.</w:t>
      </w:r>
      <w:r>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pPr>
        <w:pStyle w:val="Normal"/>
        <w:ind w:firstLine="567"/>
        <w:rPr>
          <w:rFonts w:ascii="Times New Roman" w:hAnsi="Times New Roman"/>
          <w:sz w:val="28"/>
          <w:szCs w:val="28"/>
        </w:rPr>
      </w:pPr>
      <w:r>
        <w:rPr>
          <w:rFonts w:ascii="Times New Roman" w:hAnsi="Times New Roman"/>
          <w:b/>
          <w:sz w:val="28"/>
          <w:szCs w:val="28"/>
        </w:rPr>
        <w:t>4) приобретение цифровых финансовых активов и цифровых валют.</w:t>
      </w:r>
      <w:r>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pPr>
        <w:pStyle w:val="Normal"/>
        <w:ind w:firstLine="851"/>
        <w:rPr>
          <w:rFonts w:ascii="Times New Roman" w:hAnsi="Times New Roman"/>
          <w:sz w:val="28"/>
          <w:szCs w:val="28"/>
        </w:rPr>
      </w:pPr>
      <w:r>
        <w:rPr>
          <w:rFonts w:ascii="Times New Roman" w:hAnsi="Times New Roman"/>
          <w:sz w:val="28"/>
          <w:szCs w:val="28"/>
        </w:rPr>
      </w:r>
    </w:p>
    <w:p>
      <w:pPr>
        <w:pStyle w:val="Normal"/>
        <w:ind w:hanging="0"/>
        <w:jc w:val="center"/>
        <w:rPr>
          <w:rFonts w:ascii="Times New Roman" w:hAnsi="Times New Roman" w:eastAsia="Times New Roman"/>
          <w:b/>
          <w:sz w:val="28"/>
          <w:szCs w:val="28"/>
        </w:rPr>
      </w:pPr>
      <w:r>
        <w:rPr>
          <w:rFonts w:eastAsia="Times New Roman" w:ascii="Times New Roman" w:hAnsi="Times New Roman"/>
          <w:b/>
          <w:sz w:val="28"/>
          <w:szCs w:val="28"/>
          <w:lang w:eastAsia="ru-RU"/>
        </w:rPr>
        <w:t>РАЗДЕЛ 3. СВЕДЕНИЯ ОБ ИМУЩЕСТВЕ</w:t>
      </w:r>
    </w:p>
    <w:p>
      <w:pPr>
        <w:pStyle w:val="Normal"/>
        <w:ind w:firstLine="851"/>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rPr>
          <w:rFonts w:ascii="Times New Roman" w:hAnsi="Times New Roman" w:eastAsia="Times New Roman"/>
          <w:b/>
          <w:sz w:val="28"/>
          <w:szCs w:val="28"/>
        </w:rPr>
      </w:pPr>
      <w:r>
        <w:rPr>
          <w:rFonts w:eastAsia="Times New Roman" w:ascii="Times New Roman" w:hAnsi="Times New Roman"/>
          <w:b/>
          <w:sz w:val="28"/>
          <w:szCs w:val="28"/>
          <w:lang w:eastAsia="ru-RU"/>
        </w:rPr>
        <w:t>Подраздел 3.1 Недвижимое имущество</w:t>
      </w:r>
    </w:p>
    <w:p>
      <w:pPr>
        <w:pStyle w:val="ListParagraph"/>
        <w:ind w:left="567" w:hanging="0"/>
        <w:rPr>
          <w:rFonts w:ascii="Times New Roman" w:hAnsi="Times New Roman"/>
          <w:sz w:val="28"/>
          <w:szCs w:val="28"/>
        </w:rPr>
      </w:pPr>
      <w:r>
        <w:rPr>
          <w:rFonts w:ascii="Times New Roman" w:hAnsi="Times New Roman"/>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pPr>
        <w:pStyle w:val="Normal"/>
        <w:ind w:firstLine="567"/>
        <w:rPr>
          <w:rFonts w:ascii="Times New Roman" w:hAnsi="Times New Roman"/>
          <w:sz w:val="28"/>
          <w:szCs w:val="28"/>
        </w:rPr>
      </w:pPr>
      <w:r>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Pr>
          <w:rFonts w:ascii="Times New Roman" w:hAnsi="Times New Roman"/>
          <w:sz w:val="28"/>
          <w:szCs w:val="28"/>
          <w:shd w:fill="FFFFFF" w:val="clear"/>
        </w:rPr>
        <w:t>гражданину, зарегистрированному в качестве индивидуального предпринимателя</w:t>
      </w:r>
      <w:r>
        <w:rPr>
          <w:rFonts w:ascii="Times New Roman" w:hAnsi="Times New Roman"/>
          <w:sz w:val="28"/>
          <w:szCs w:val="28"/>
        </w:rPr>
        <w:t>.</w:t>
      </w:r>
    </w:p>
    <w:p>
      <w:pPr>
        <w:pStyle w:val="Normal"/>
        <w:ind w:firstLine="567"/>
        <w:rPr>
          <w:rFonts w:ascii="Times New Roman" w:hAnsi="Times New Roman"/>
          <w:sz w:val="28"/>
          <w:szCs w:val="28"/>
        </w:rPr>
      </w:pPr>
      <w:r>
        <w:rPr>
          <w:rFonts w:ascii="Times New Roman" w:hAnsi="Times New Roman"/>
          <w:sz w:val="28"/>
          <w:szCs w:val="28"/>
        </w:rPr>
        <w:t xml:space="preserve">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r>
        <w:rPr>
          <w:rFonts w:ascii="Times New Roman" w:hAnsi="Times New Roman"/>
          <w:sz w:val="28"/>
        </w:rPr>
        <w:t xml:space="preserve">пунктом </w:t>
      </w:r>
      <w:r>
        <w:rPr>
          <w:rFonts w:ascii="Times New Roman" w:hAnsi="Times New Roman"/>
          <w:sz w:val="28"/>
          <w:szCs w:val="28"/>
        </w:rPr>
        <w:t>122</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pPr>
        <w:pStyle w:val="ListParagraph"/>
        <w:ind w:left="0" w:firstLine="567"/>
        <w:rPr>
          <w:rFonts w:ascii="Times New Roman" w:hAnsi="Times New Roman"/>
          <w:sz w:val="28"/>
          <w:szCs w:val="28"/>
        </w:rPr>
      </w:pPr>
      <w:r>
        <w:rPr>
          <w:rFonts w:ascii="Times New Roman" w:hAnsi="Times New Roman"/>
          <w:sz w:val="28"/>
          <w:szCs w:val="28"/>
        </w:rPr>
        <w:t xml:space="preserve">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r>
        <w:rPr>
          <w:rFonts w:ascii="Times New Roman" w:hAnsi="Times New Roman"/>
          <w:sz w:val="28"/>
        </w:rPr>
        <w:t xml:space="preserve">пунктом </w:t>
      </w:r>
      <w:r>
        <w:rPr>
          <w:rFonts w:ascii="Times New Roman" w:hAnsi="Times New Roman"/>
          <w:sz w:val="28"/>
          <w:szCs w:val="28"/>
        </w:rPr>
        <w:t>122</w:t>
      </w:r>
      <w:r>
        <w:rPr>
          <w:rFonts w:ascii="Times New Roman" w:hAnsi="Times New Roman"/>
          <w:sz w:val="28"/>
        </w:rPr>
        <w:t xml:space="preserve"> настоящих Методических рекомендаций)</w:t>
      </w:r>
      <w:r>
        <w:rPr>
          <w:rFonts w:ascii="Times New Roman" w:hAnsi="Times New Roman"/>
          <w:sz w:val="28"/>
          <w:szCs w:val="28"/>
        </w:rPr>
        <w:t>.</w:t>
      </w:r>
    </w:p>
    <w:p>
      <w:pPr>
        <w:pStyle w:val="ListParagraph"/>
        <w:numPr>
          <w:ilvl w:val="0"/>
          <w:numId w:val="1"/>
        </w:numPr>
        <w:ind w:left="0" w:firstLine="709"/>
        <w:outlineLvl w:val="1"/>
        <w:rPr>
          <w:rFonts w:ascii="Times New Roman" w:hAnsi="Times New Roman"/>
          <w:sz w:val="28"/>
          <w:szCs w:val="28"/>
        </w:rPr>
      </w:pPr>
      <w:r>
        <w:rPr>
          <w:rFonts w:ascii="Times New Roman" w:hAnsi="Times New Roman"/>
          <w:sz w:val="28"/>
          <w:szCs w:val="28"/>
        </w:rPr>
        <w:t>В соответствии с пунктом 4 статьи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pPr>
        <w:pStyle w:val="ListParagraph"/>
        <w:numPr>
          <w:ilvl w:val="0"/>
          <w:numId w:val="1"/>
        </w:numPr>
        <w:ind w:left="0" w:firstLine="567"/>
        <w:outlineLvl w:val="1"/>
        <w:rPr>
          <w:rFonts w:ascii="Times New Roman" w:hAnsi="Times New Roman"/>
          <w:sz w:val="28"/>
          <w:szCs w:val="28"/>
        </w:rPr>
      </w:pPr>
      <w:r>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pPr>
        <w:pStyle w:val="ListParagraph"/>
        <w:numPr>
          <w:ilvl w:val="0"/>
          <w:numId w:val="1"/>
        </w:numPr>
        <w:ind w:left="0" w:firstLine="567"/>
        <w:outlineLvl w:val="1"/>
        <w:rPr>
          <w:rFonts w:ascii="Times New Roman" w:hAnsi="Times New Roman"/>
          <w:sz w:val="28"/>
          <w:szCs w:val="28"/>
        </w:rPr>
      </w:pPr>
      <w:r>
        <w:rPr>
          <w:rStyle w:val="Style13"/>
          <w:rFonts w:cs="Times New Roman" w:ascii="Times New Roman" w:hAnsi="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pPr>
        <w:pStyle w:val="ListParagraph"/>
        <w:ind w:left="0" w:firstLine="567"/>
        <w:rPr>
          <w:rFonts w:ascii="Times New Roman" w:hAnsi="Times New Roman"/>
          <w:b/>
          <w:sz w:val="28"/>
          <w:szCs w:val="28"/>
        </w:rPr>
      </w:pPr>
      <w:r>
        <w:rPr>
          <w:rFonts w:ascii="Times New Roman" w:hAnsi="Times New Roman"/>
          <w:sz w:val="28"/>
          <w:szCs w:val="28"/>
        </w:rPr>
        <w:t xml:space="preserve">Заполнение графы </w:t>
      </w:r>
      <w:r>
        <w:rPr>
          <w:rFonts w:ascii="Times New Roman" w:hAnsi="Times New Roman"/>
          <w:b/>
          <w:sz w:val="28"/>
          <w:szCs w:val="28"/>
        </w:rPr>
        <w:t xml:space="preserve">"Вид и наименование имущества"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При указании сведений о </w:t>
      </w:r>
      <w:r>
        <w:rPr>
          <w:rFonts w:ascii="Times New Roman" w:hAnsi="Times New Roman"/>
          <w:b/>
          <w:sz w:val="28"/>
          <w:szCs w:val="28"/>
        </w:rPr>
        <w:t>земельных участках</w:t>
      </w:r>
      <w:r>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pPr>
        <w:pStyle w:val="Normal"/>
        <w:ind w:firstLine="567"/>
        <w:rPr>
          <w:rFonts w:ascii="Times New Roman" w:hAnsi="Times New Roman"/>
          <w:sz w:val="28"/>
          <w:szCs w:val="28"/>
        </w:rPr>
      </w:pPr>
      <w:r>
        <w:rPr>
          <w:rFonts w:ascii="Times New Roman" w:hAnsi="Times New Roman"/>
          <w:sz w:val="28"/>
          <w:szCs w:val="28"/>
        </w:rPr>
        <w:t xml:space="preserve">1) садовый земельный участок – </w:t>
      </w:r>
      <w:r>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Pr>
          <w:rFonts w:ascii="Times New Roman" w:hAnsi="Times New Roman"/>
          <w:sz w:val="28"/>
          <w:szCs w:val="28"/>
        </w:rPr>
        <w:t>;</w:t>
      </w:r>
    </w:p>
    <w:p>
      <w:pPr>
        <w:pStyle w:val="Normal"/>
        <w:ind w:firstLine="567"/>
        <w:rPr>
          <w:rFonts w:ascii="Times New Roman" w:hAnsi="Times New Roman"/>
          <w:sz w:val="28"/>
          <w:szCs w:val="28"/>
        </w:rPr>
      </w:pPr>
      <w:r>
        <w:rPr>
          <w:rFonts w:ascii="Times New Roman" w:hAnsi="Times New Roman"/>
          <w:sz w:val="28"/>
          <w:szCs w:val="28"/>
        </w:rPr>
        <w:t xml:space="preserve">2) огородный земельный участок – </w:t>
      </w:r>
      <w:r>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pPr>
        <w:pStyle w:val="ListParagraph"/>
        <w:numPr>
          <w:ilvl w:val="0"/>
          <w:numId w:val="1"/>
        </w:numPr>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color w:val="000000"/>
          <w:sz w:val="28"/>
          <w:szCs w:val="28"/>
        </w:rPr>
        <w:t xml:space="preserve">При наличии в собственности </w:t>
      </w:r>
      <w:r>
        <w:rPr>
          <w:rStyle w:val="Style13"/>
          <w:rFonts w:cs="Times New Roman" w:ascii="Times New Roman" w:hAnsi="Times New Roman"/>
          <w:b/>
          <w:color w:val="000000"/>
          <w:sz w:val="28"/>
          <w:szCs w:val="28"/>
        </w:rPr>
        <w:t>жилого или садового дома,</w:t>
      </w:r>
      <w:r>
        <w:rPr>
          <w:rStyle w:val="Style13"/>
          <w:rFonts w:cs="Times New Roman" w:ascii="Times New Roman" w:hAnsi="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pPr>
        <w:pStyle w:val="ListParagraph"/>
        <w:numPr>
          <w:ilvl w:val="0"/>
          <w:numId w:val="1"/>
        </w:numPr>
        <w:ind w:left="0" w:firstLine="567"/>
        <w:rPr>
          <w:rFonts w:ascii="Times New Roman" w:hAnsi="Times New Roman"/>
          <w:sz w:val="28"/>
          <w:szCs w:val="28"/>
        </w:rPr>
      </w:pPr>
      <w:r>
        <w:rPr>
          <w:rStyle w:val="Style13"/>
          <w:rFonts w:cs="Times New Roman" w:ascii="Times New Roman" w:hAnsi="Times New Roman"/>
          <w:color w:val="000000"/>
          <w:sz w:val="28"/>
          <w:szCs w:val="28"/>
        </w:rPr>
        <w:t>В строке "</w:t>
      </w:r>
      <w:r>
        <w:rPr>
          <w:rStyle w:val="Style13"/>
          <w:rFonts w:cs="Times New Roman" w:ascii="Times New Roman" w:hAnsi="Times New Roman"/>
          <w:b/>
          <w:color w:val="000000"/>
          <w:sz w:val="28"/>
          <w:szCs w:val="28"/>
        </w:rPr>
        <w:t>Гаражи</w:t>
      </w:r>
      <w:r>
        <w:rPr>
          <w:rStyle w:val="Style13"/>
          <w:rFonts w:cs="Times New Roman" w:ascii="Times New Roman" w:hAnsi="Times New Roman"/>
          <w:color w:val="000000"/>
          <w:sz w:val="28"/>
          <w:szCs w:val="28"/>
        </w:rPr>
        <w:t xml:space="preserve">" указывается информация об </w:t>
      </w:r>
      <w:r>
        <w:rPr>
          <w:rFonts w:ascii="Times New Roman" w:hAnsi="Times New Roman"/>
          <w:sz w:val="28"/>
          <w:szCs w:val="28"/>
        </w:rPr>
        <w:t>организованных местах хранения автотранспорта - "гараж", "м</w:t>
      </w:r>
      <w:r>
        <w:rPr>
          <w:rStyle w:val="Style13"/>
          <w:rFonts w:cs="Times New Roman" w:ascii="Times New Roman" w:hAnsi="Times New Roman"/>
          <w:color w:val="000000"/>
          <w:sz w:val="28"/>
          <w:szCs w:val="28"/>
        </w:rPr>
        <w:t xml:space="preserve">ашино-место" и другие на основании </w:t>
      </w:r>
      <w:r>
        <w:rPr>
          <w:rFonts w:ascii="Times New Roman" w:hAnsi="Times New Roman"/>
          <w:sz w:val="28"/>
          <w:szCs w:val="28"/>
        </w:rPr>
        <w:t>свидетельства о регистрации права собственности (иного правоустанавливающего документа).</w:t>
      </w:r>
      <w:r>
        <w:rPr>
          <w:rStyle w:val="Style13"/>
          <w:rFonts w:cs="Times New Roman" w:ascii="Times New Roman" w:hAnsi="Times New Roman"/>
          <w:sz w:val="28"/>
          <w:szCs w:val="28"/>
        </w:rPr>
        <w:t xml:space="preserve"> Земельный участок, на котором расположен гараж, являющийся обособленным строением, </w:t>
      </w:r>
      <w:r>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"Вид собственности"</w:t>
      </w:r>
      <w:r>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Pr>
          <w:rFonts w:ascii="Times New Roman" w:hAnsi="Times New Roman"/>
          <w:b/>
          <w:sz w:val="28"/>
        </w:rPr>
        <w:t>"Вид собственности"</w:t>
      </w:r>
      <w:r>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pPr>
        <w:pStyle w:val="ListParagraph"/>
        <w:numPr>
          <w:ilvl w:val="0"/>
          <w:numId w:val="1"/>
        </w:numPr>
        <w:ind w:left="0" w:firstLine="567"/>
        <w:rPr>
          <w:rFonts w:ascii="Times New Roman" w:hAnsi="Times New Roman"/>
          <w:sz w:val="28"/>
          <w:szCs w:val="28"/>
        </w:rPr>
      </w:pPr>
      <w:r>
        <w:rPr>
          <w:rFonts w:ascii="Times New Roman" w:hAnsi="Times New Roman"/>
          <w:b/>
          <w:sz w:val="28"/>
          <w:szCs w:val="28"/>
        </w:rPr>
        <w:t>Местонахождение (адрес)</w:t>
      </w:r>
      <w:r>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pPr>
        <w:pStyle w:val="Normal"/>
        <w:ind w:firstLine="567"/>
        <w:rPr>
          <w:rFonts w:ascii="Times New Roman" w:hAnsi="Times New Roman"/>
          <w:sz w:val="28"/>
          <w:szCs w:val="28"/>
        </w:rPr>
      </w:pPr>
      <w:r>
        <w:rPr>
          <w:rFonts w:ascii="Times New Roman" w:hAnsi="Times New Roman"/>
          <w:sz w:val="28"/>
          <w:szCs w:val="28"/>
        </w:rPr>
        <w:t>1) субъект Российской Федерации;</w:t>
      </w:r>
    </w:p>
    <w:p>
      <w:pPr>
        <w:pStyle w:val="Normal"/>
        <w:ind w:firstLine="567"/>
        <w:rPr>
          <w:rFonts w:ascii="Times New Roman" w:hAnsi="Times New Roman"/>
          <w:sz w:val="28"/>
          <w:szCs w:val="28"/>
        </w:rPr>
      </w:pPr>
      <w:r>
        <w:rPr>
          <w:rFonts w:ascii="Times New Roman" w:hAnsi="Times New Roman"/>
          <w:sz w:val="28"/>
          <w:szCs w:val="28"/>
        </w:rPr>
        <w:t>2) район;</w:t>
      </w:r>
    </w:p>
    <w:p>
      <w:pPr>
        <w:pStyle w:val="Normal"/>
        <w:ind w:firstLine="567"/>
        <w:rPr>
          <w:rFonts w:ascii="Times New Roman" w:hAnsi="Times New Roman"/>
          <w:sz w:val="28"/>
          <w:szCs w:val="28"/>
        </w:rPr>
      </w:pPr>
      <w:r>
        <w:rPr>
          <w:rFonts w:ascii="Times New Roman" w:hAnsi="Times New Roman"/>
          <w:sz w:val="28"/>
          <w:szCs w:val="28"/>
        </w:rPr>
        <w:t>3) город, иной населенный пункт (село, поселок и т.д.);</w:t>
      </w:r>
    </w:p>
    <w:p>
      <w:pPr>
        <w:pStyle w:val="Normal"/>
        <w:ind w:firstLine="567"/>
        <w:rPr>
          <w:rFonts w:ascii="Times New Roman" w:hAnsi="Times New Roman"/>
          <w:sz w:val="28"/>
          <w:szCs w:val="28"/>
        </w:rPr>
      </w:pPr>
      <w:r>
        <w:rPr>
          <w:rFonts w:ascii="Times New Roman" w:hAnsi="Times New Roman"/>
          <w:sz w:val="28"/>
          <w:szCs w:val="28"/>
        </w:rPr>
        <w:t>4) улица (проспект, переулок и т.д.);</w:t>
      </w:r>
    </w:p>
    <w:p>
      <w:pPr>
        <w:pStyle w:val="ConsPlusNonformat"/>
        <w:ind w:firstLine="567"/>
        <w:rPr>
          <w:rFonts w:ascii="Times New Roman" w:hAnsi="Times New Roman" w:cs="Times New Roman"/>
          <w:sz w:val="28"/>
          <w:szCs w:val="28"/>
        </w:rPr>
      </w:pPr>
      <w:r>
        <w:rPr>
          <w:rFonts w:cs="Times New Roman" w:ascii="Times New Roman" w:hAnsi="Times New Roman"/>
          <w:sz w:val="28"/>
          <w:szCs w:val="28"/>
        </w:rPr>
        <w:t>5) номер дома (владения, участка), корпуса (строения), квартиры.</w:t>
      </w:r>
    </w:p>
    <w:p>
      <w:pPr>
        <w:pStyle w:val="ConsPlusNonformat"/>
        <w:ind w:firstLine="567"/>
        <w:rPr>
          <w:rFonts w:ascii="Times New Roman" w:hAnsi="Times New Roman" w:cs="Times New Roman"/>
          <w:sz w:val="28"/>
          <w:szCs w:val="28"/>
        </w:rPr>
      </w:pPr>
      <w:r>
        <w:rPr>
          <w:rFonts w:cs="Times New Roman" w:ascii="Times New Roman" w:hAnsi="Times New Roman"/>
          <w:sz w:val="28"/>
          <w:szCs w:val="28"/>
        </w:rPr>
        <w:t>Также рекомендуется указывать индекс.</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Если недвижимое имущество находится за рубежом, то указывается:</w:t>
      </w:r>
    </w:p>
    <w:p>
      <w:pPr>
        <w:pStyle w:val="Normal"/>
        <w:ind w:firstLine="567"/>
        <w:rPr>
          <w:rFonts w:ascii="Times New Roman" w:hAnsi="Times New Roman"/>
          <w:sz w:val="28"/>
          <w:szCs w:val="28"/>
        </w:rPr>
      </w:pPr>
      <w:r>
        <w:rPr>
          <w:rFonts w:ascii="Times New Roman" w:hAnsi="Times New Roman"/>
          <w:sz w:val="28"/>
          <w:szCs w:val="28"/>
        </w:rPr>
        <w:t>1) наименование государства;</w:t>
      </w:r>
    </w:p>
    <w:p>
      <w:pPr>
        <w:pStyle w:val="Normal"/>
        <w:ind w:firstLine="567"/>
        <w:rPr>
          <w:rFonts w:ascii="Times New Roman" w:hAnsi="Times New Roman"/>
          <w:sz w:val="28"/>
          <w:szCs w:val="28"/>
        </w:rPr>
      </w:pPr>
      <w:r>
        <w:rPr>
          <w:rFonts w:ascii="Times New Roman" w:hAnsi="Times New Roman"/>
          <w:sz w:val="28"/>
          <w:szCs w:val="28"/>
        </w:rPr>
        <w:t>2) населенный пункт (иная единица административно-территориального деления);</w:t>
      </w:r>
    </w:p>
    <w:p>
      <w:pPr>
        <w:pStyle w:val="Normal"/>
        <w:ind w:firstLine="567"/>
        <w:rPr>
          <w:rFonts w:ascii="Times New Roman" w:hAnsi="Times New Roman"/>
          <w:strike/>
          <w:sz w:val="28"/>
          <w:szCs w:val="28"/>
        </w:rPr>
      </w:pPr>
      <w:r>
        <w:rPr>
          <w:rFonts w:ascii="Times New Roman" w:hAnsi="Times New Roman"/>
          <w:sz w:val="28"/>
          <w:szCs w:val="28"/>
        </w:rPr>
        <w:t>3) почтовый адрес.</w:t>
      </w:r>
    </w:p>
    <w:p>
      <w:pPr>
        <w:pStyle w:val="ListParagraph"/>
        <w:numPr>
          <w:ilvl w:val="0"/>
          <w:numId w:val="1"/>
        </w:numPr>
        <w:ind w:left="0" w:firstLine="567"/>
        <w:rPr>
          <w:rStyle w:val="Style13"/>
          <w:rFonts w:ascii="Times New Roman" w:hAnsi="Times New Roman" w:cs="Times New Roman"/>
          <w:color w:val="000000"/>
          <w:sz w:val="28"/>
          <w:szCs w:val="28"/>
        </w:rPr>
      </w:pPr>
      <w:r>
        <w:rPr>
          <w:rFonts w:ascii="Times New Roman" w:hAnsi="Times New Roman"/>
          <w:b/>
          <w:sz w:val="28"/>
          <w:szCs w:val="28"/>
        </w:rPr>
        <w:t xml:space="preserve">Площадь </w:t>
      </w:r>
      <w:r>
        <w:rPr>
          <w:rFonts w:ascii="Times New Roman" w:hAnsi="Times New Roman"/>
          <w:sz w:val="28"/>
          <w:szCs w:val="28"/>
        </w:rPr>
        <w:t>объекта недвижимого имущества указывается на основании правоустанавливающих документов. Е</w:t>
      </w:r>
      <w:r>
        <w:rPr>
          <w:rStyle w:val="Style13"/>
          <w:rFonts w:cs="Times New Roman" w:ascii="Times New Roman" w:hAnsi="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pPr>
        <w:pStyle w:val="ListParagraph"/>
        <w:numPr>
          <w:ilvl w:val="0"/>
          <w:numId w:val="1"/>
        </w:numPr>
        <w:ind w:left="0" w:firstLine="567"/>
        <w:rPr>
          <w:rStyle w:val="Style13"/>
          <w:rFonts w:ascii="Times New Roman" w:hAnsi="Times New Roman" w:cs="Times New Roman"/>
          <w:color w:val="000000"/>
          <w:sz w:val="28"/>
          <w:szCs w:val="28"/>
        </w:rPr>
      </w:pPr>
      <w:r>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pStyle w:val="ListParagraph"/>
        <w:ind w:left="0" w:firstLine="567"/>
        <w:rPr>
          <w:rFonts w:ascii="Times New Roman" w:hAnsi="Times New Roman"/>
          <w:b/>
          <w:sz w:val="28"/>
          <w:szCs w:val="28"/>
        </w:rPr>
      </w:pPr>
      <w:r>
        <w:rPr>
          <w:rFonts w:ascii="Times New Roman" w:hAnsi="Times New Roman"/>
          <w:b/>
          <w:sz w:val="28"/>
          <w:szCs w:val="28"/>
        </w:rPr>
        <w:t>Основание приобретения и источники средств</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pPr>
        <w:pStyle w:val="ListParagraph"/>
        <w:ind w:left="0" w:firstLine="567"/>
        <w:rPr>
          <w:rFonts w:ascii="Times New Roman" w:hAnsi="Times New Roman"/>
          <w:sz w:val="28"/>
          <w:szCs w:val="28"/>
        </w:rPr>
      </w:pPr>
      <w:r>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Pr>
          <w:rFonts w:ascii="Times New Roman" w:hAnsi="Times New Roman"/>
          <w:b/>
          <w:sz w:val="28"/>
          <w:szCs w:val="28"/>
        </w:rPr>
        <w:t>или</w:t>
      </w:r>
      <w:r>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5" w:tgtFrame="https://lk.rosreestr.ru/eservices/real-estate-objects-online">
        <w:r>
          <w:rPr>
            <w:rStyle w:val="-"/>
            <w:rFonts w:ascii="Times New Roman" w:hAnsi="Times New Roman"/>
            <w:sz w:val="28"/>
            <w:szCs w:val="28"/>
          </w:rPr>
          <w:t>https://lk.rosreestr.ru/eservices/real-estate-objects-online</w:t>
        </w:r>
      </w:hyperlink>
      <w:r>
        <w:rPr>
          <w:rFonts w:ascii="Times New Roman" w:hAnsi="Times New Roman"/>
          <w:sz w:val="28"/>
          <w:szCs w:val="28"/>
        </w:rPr>
        <w:t>).</w:t>
      </w:r>
    </w:p>
    <w:p>
      <w:pPr>
        <w:pStyle w:val="ListParagraph"/>
        <w:ind w:left="0" w:firstLine="567"/>
        <w:rPr>
          <w:rFonts w:ascii="Times New Roman" w:hAnsi="Times New Roman"/>
          <w:sz w:val="28"/>
          <w:szCs w:val="28"/>
        </w:rPr>
      </w:pPr>
      <w:r>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pPr>
        <w:pStyle w:val="ListParagraph"/>
        <w:ind w:left="0" w:firstLine="567"/>
        <w:rPr>
          <w:rFonts w:ascii="Times New Roman" w:hAnsi="Times New Roman"/>
          <w:sz w:val="28"/>
          <w:szCs w:val="28"/>
        </w:rPr>
      </w:pPr>
      <w:r>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Pr>
          <w:rFonts w:ascii="Times New Roman" w:hAnsi="Times New Roman"/>
          <w:sz w:val="28"/>
          <w:szCs w:val="28"/>
          <w:lang w:val="en-US"/>
        </w:rPr>
        <w:t>N</w:t>
      </w:r>
      <w:r>
        <w:rPr>
          <w:rFonts w:ascii="Times New Roman" w:hAnsi="Times New Roman"/>
          <w:sz w:val="28"/>
          <w:szCs w:val="28"/>
        </w:rPr>
        <w:t xml:space="preserve"> от 15.03.1995 г. № 1-345/95 о передаче недвижимого имущества в собственность и др.).</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77:02:0014017:1994-72/004/2024-2 от 27 марта 2024 г.; договор купли-продажи от 19 февраля 2024 г. или иное.</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Pr>
          <w:rFonts w:ascii="Times New Roman" w:hAnsi="Times New Roman"/>
          <w:b/>
          <w:sz w:val="28"/>
          <w:szCs w:val="28"/>
        </w:rPr>
        <w:t>исключительно</w:t>
      </w:r>
      <w:r>
        <w:rPr>
          <w:rFonts w:ascii="Times New Roman" w:hAnsi="Times New Roman"/>
          <w:sz w:val="28"/>
          <w:szCs w:val="28"/>
        </w:rPr>
        <w:t xml:space="preserve"> за пределами территории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pPr>
        <w:pStyle w:val="ListParagraph"/>
        <w:ind w:left="0" w:firstLine="567"/>
        <w:rPr>
          <w:rFonts w:ascii="Times New Roman" w:hAnsi="Times New Roman"/>
          <w:sz w:val="28"/>
          <w:szCs w:val="28"/>
        </w:rPr>
      </w:pPr>
      <w:r>
        <w:rPr>
          <w:rFonts w:ascii="Times New Roman" w:hAnsi="Times New Roman"/>
          <w:sz w:val="28"/>
          <w:szCs w:val="28"/>
        </w:rPr>
        <w:t>Сведения об источнике средств, за счет которых приобретено недвижимое имущество, находящееся в пределах территории Российской Федерации, в настоящем подразделе раздела 3 справки не указываются.</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Обязанность сообщать сведения об </w:t>
      </w:r>
      <w:r>
        <w:rPr>
          <w:rFonts w:ascii="Times New Roman" w:hAnsi="Times New Roman"/>
          <w:b/>
          <w:sz w:val="28"/>
          <w:szCs w:val="28"/>
        </w:rPr>
        <w:t>источнике средств</w:t>
      </w:r>
      <w:r>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Pr>
          <w:rFonts w:ascii="Times New Roman" w:hAnsi="Times New Roman"/>
          <w:b/>
          <w:sz w:val="28"/>
          <w:szCs w:val="28"/>
        </w:rPr>
        <w:t>только</w:t>
      </w:r>
      <w:r>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pPr>
        <w:pStyle w:val="ListParagraph"/>
        <w:ind w:left="0" w:firstLine="567"/>
        <w:rPr>
          <w:rFonts w:ascii="Times New Roman" w:hAnsi="Times New Roman"/>
          <w:sz w:val="28"/>
          <w:szCs w:val="28"/>
        </w:rPr>
      </w:pPr>
      <w:r>
        <w:rPr>
          <w:rFonts w:ascii="Times New Roman" w:hAnsi="Times New Roman"/>
          <w:sz w:val="28"/>
          <w:szCs w:val="28"/>
        </w:rPr>
        <w:t>1) на лиц, замещающих (занимающих):</w:t>
      </w:r>
    </w:p>
    <w:p>
      <w:pPr>
        <w:pStyle w:val="ListParagraph"/>
        <w:ind w:left="0" w:firstLine="567"/>
        <w:rPr>
          <w:rFonts w:ascii="Times New Roman" w:hAnsi="Times New Roman"/>
          <w:sz w:val="28"/>
          <w:szCs w:val="28"/>
        </w:rPr>
      </w:pPr>
      <w:bookmarkStart w:id="2" w:name="Par1"/>
      <w:bookmarkEnd w:id="2"/>
      <w:r>
        <w:rPr>
          <w:rFonts w:ascii="Times New Roman" w:hAnsi="Times New Roman"/>
          <w:sz w:val="28"/>
          <w:szCs w:val="28"/>
        </w:rPr>
        <w:t>государственные должности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должности первого заместителя и заместителей Генерального прокурора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должности членов Совета директоров Центрального банка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государственные должности субъектов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должности заместителей руководителей федеральных органов исполнительной власти;</w:t>
      </w:r>
    </w:p>
    <w:p>
      <w:pPr>
        <w:pStyle w:val="ListParagraph"/>
        <w:ind w:left="0" w:firstLine="567"/>
        <w:rPr>
          <w:rFonts w:ascii="Times New Roman" w:hAnsi="Times New Roman"/>
          <w:sz w:val="28"/>
          <w:szCs w:val="28"/>
        </w:rPr>
      </w:pPr>
      <w:r>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ConsPlusNormal"/>
        <w:ind w:firstLine="567"/>
        <w:jc w:val="both"/>
        <w:rPr/>
      </w:pPr>
      <w:bookmarkStart w:id="3" w:name="Par8"/>
      <w:bookmarkEnd w:id="3"/>
      <w:r>
        <w:rP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ConsPlusNormal"/>
        <w:ind w:firstLine="567"/>
        <w:jc w:val="both"/>
        <w:rPr/>
      </w:pPr>
      <w:r>
        <w:rP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pPr>
        <w:pStyle w:val="ListParagraph"/>
        <w:ind w:left="0" w:firstLine="567"/>
        <w:rPr>
          <w:rFonts w:ascii="Times New Roman" w:hAnsi="Times New Roman"/>
          <w:sz w:val="28"/>
          <w:szCs w:val="28"/>
        </w:rPr>
      </w:pPr>
      <w:r>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pPr>
        <w:pStyle w:val="ListParagraph"/>
        <w:ind w:left="0" w:firstLine="567"/>
        <w:rPr>
          <w:rFonts w:ascii="Times New Roman" w:hAnsi="Times New Roman"/>
          <w:sz w:val="28"/>
          <w:szCs w:val="28"/>
        </w:rPr>
      </w:pPr>
      <w:r>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pPr>
        <w:pStyle w:val="ListParagraph"/>
        <w:ind w:left="0" w:firstLine="567"/>
        <w:rPr>
          <w:rFonts w:ascii="Times New Roman" w:hAnsi="Times New Roman"/>
          <w:sz w:val="28"/>
          <w:szCs w:val="28"/>
        </w:rPr>
      </w:pPr>
      <w:r>
        <w:rPr>
          <w:rFonts w:ascii="Times New Roman" w:hAnsi="Times New Roman"/>
          <w:sz w:val="28"/>
          <w:szCs w:val="28"/>
        </w:rPr>
        <w:t>3) иных лиц в случаях, предусмотренных федеральными законами.</w:t>
      </w:r>
    </w:p>
    <w:p>
      <w:pPr>
        <w:pStyle w:val="ListParagraph"/>
        <w:numPr>
          <w:ilvl w:val="0"/>
          <w:numId w:val="1"/>
        </w:numPr>
        <w:ind w:left="0" w:firstLine="709"/>
        <w:rPr>
          <w:rFonts w:ascii="Times New Roman" w:hAnsi="Times New Roman"/>
          <w:sz w:val="28"/>
          <w:szCs w:val="28"/>
        </w:rPr>
      </w:pPr>
      <w:r>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p>
    <w:p>
      <w:pPr>
        <w:pStyle w:val="ListParagraph"/>
        <w:ind w:left="0" w:firstLine="567"/>
        <w:rPr>
          <w:rFonts w:ascii="Times New Roman" w:hAnsi="Times New Roman"/>
          <w:b/>
          <w:sz w:val="28"/>
          <w:szCs w:val="28"/>
        </w:rPr>
      </w:pPr>
      <w:r>
        <w:rPr>
          <w:rFonts w:ascii="Times New Roman" w:hAnsi="Times New Roman"/>
          <w:b/>
          <w:sz w:val="28"/>
          <w:szCs w:val="28"/>
        </w:rPr>
        <w:t>Подраздел 3.2. Транспортные средства</w:t>
      </w:r>
    </w:p>
    <w:p>
      <w:pPr>
        <w:pStyle w:val="ListParagraph"/>
        <w:numPr>
          <w:ilvl w:val="0"/>
          <w:numId w:val="1"/>
        </w:numPr>
        <w:ind w:left="0" w:firstLine="567"/>
        <w:rPr>
          <w:rFonts w:ascii="Times New Roman" w:hAnsi="Times New Roman"/>
          <w:sz w:val="28"/>
          <w:szCs w:val="28"/>
        </w:rPr>
      </w:pPr>
      <w:r>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Pr>
          <w:rFonts w:ascii="Times New Roman" w:hAnsi="Times New Roman"/>
          <w:sz w:val="28"/>
          <w:szCs w:val="28"/>
        </w:rPr>
        <w:t>переданные в пользование по доверенности,</w:t>
      </w:r>
      <w:r>
        <w:rPr>
          <w:rFonts w:ascii="Times New Roman" w:hAnsi="Times New Roman"/>
          <w:color w:val="000000"/>
          <w:sz w:val="28"/>
          <w:szCs w:val="28"/>
        </w:rPr>
        <w:t xml:space="preserve"> находящиеся в угоне, в залоге у банка, полностью негодные к </w:t>
      </w:r>
      <w:r>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pPr>
        <w:pStyle w:val="ListParagraph"/>
        <w:ind w:left="0" w:firstLine="567"/>
        <w:rPr>
          <w:rFonts w:ascii="Times New Roman" w:hAnsi="Times New Roman"/>
          <w:sz w:val="28"/>
          <w:szCs w:val="28"/>
        </w:rPr>
      </w:pPr>
      <w:r>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Pr>
          <w:rFonts w:ascii="Times New Roman" w:hAnsi="Times New Roman"/>
          <w:sz w:val="28"/>
          <w:szCs w:val="28"/>
          <w:shd w:fill="FFFFFF" w:val="clear"/>
        </w:rPr>
        <w:t>гражданину, зарегистрированному в качестве индивидуального предпринимателя</w:t>
      </w:r>
      <w:r>
        <w:rPr>
          <w:rFonts w:ascii="Times New Roman" w:hAnsi="Times New Roman"/>
          <w:sz w:val="28"/>
          <w:szCs w:val="28"/>
        </w:rPr>
        <w:t>.</w:t>
      </w:r>
    </w:p>
    <w:p>
      <w:pPr>
        <w:pStyle w:val="ListParagraph"/>
        <w:ind w:left="0" w:firstLine="567"/>
        <w:rPr>
          <w:rFonts w:ascii="Times New Roman" w:hAnsi="Times New Roman"/>
          <w:sz w:val="28"/>
          <w:szCs w:val="28"/>
        </w:rPr>
      </w:pPr>
      <w:r>
        <w:rPr>
          <w:rFonts w:ascii="Times New Roman" w:hAnsi="Times New Roman"/>
          <w:sz w:val="28"/>
          <w:szCs w:val="28"/>
        </w:rP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pPr>
        <w:pStyle w:val="ListParagraph"/>
        <w:numPr>
          <w:ilvl w:val="0"/>
          <w:numId w:val="1"/>
        </w:numPr>
        <w:ind w:left="0" w:firstLine="709"/>
        <w:rPr>
          <w:rFonts w:ascii="Times New Roman" w:hAnsi="Times New Roman"/>
          <w:sz w:val="28"/>
          <w:szCs w:val="28"/>
        </w:rPr>
      </w:pPr>
      <w:r>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2024 года включительно продал легковой автомобиль, а новый собственник зарегистрировал такое транспортное средство только в январе 2025 года, то данный объект не подлежит отражению в подразделе 3.2 раздела 3 справки служащего. </w:t>
      </w:r>
      <w:r>
        <w:rPr>
          <w:rFonts w:ascii="Times New Roman" w:hAnsi="Times New Roman"/>
          <w:color w:val="000000"/>
          <w:sz w:val="28"/>
          <w:szCs w:val="28"/>
        </w:rPr>
        <w:t>При заполнении графы</w:t>
      </w:r>
      <w:r>
        <w:rPr>
          <w:rFonts w:ascii="Times New Roman" w:hAnsi="Times New Roman"/>
          <w:b/>
          <w:color w:val="000000"/>
          <w:sz w:val="28"/>
          <w:szCs w:val="28"/>
        </w:rPr>
        <w:t xml:space="preserve"> "Место регистрации" </w:t>
      </w:r>
      <w:r>
        <w:rPr>
          <w:rFonts w:ascii="Times New Roman" w:hAnsi="Times New Roman"/>
          <w:color w:val="000000"/>
          <w:sz w:val="28"/>
          <w:szCs w:val="28"/>
        </w:rPr>
        <w:t xml:space="preserve">указывается наименование органа внутренних дел, осуществившего </w:t>
      </w:r>
      <w:r>
        <w:rPr>
          <w:rFonts w:ascii="Times New Roman" w:hAnsi="Times New Roman"/>
          <w:sz w:val="28"/>
          <w:szCs w:val="28"/>
        </w:rPr>
        <w:t xml:space="preserve">регистрационный учет транспортного средства, например </w:t>
      </w:r>
      <w:hyperlink r:id="rId26" w:tgtFrame="https://www.gibdd.ru/r/77/contacts/div1145039/">
        <w:r>
          <w:rPr>
            <w:rFonts w:eastAsia="Times New Roman" w:ascii="Times New Roman" w:hAnsi="Times New Roman"/>
            <w:bCs/>
            <w:sz w:val="28"/>
            <w:szCs w:val="28"/>
            <w:lang w:eastAsia="ru-RU"/>
          </w:rPr>
          <w:t>МО ГИБДД ТНРЭР № 2 ГУ МВД России по г. Москве</w:t>
        </w:r>
      </w:hyperlink>
      <w:r>
        <w:rPr>
          <w:rFonts w:eastAsia="Times New Roman" w:ascii="Times New Roman" w:hAnsi="Times New Roman"/>
          <w:sz w:val="28"/>
          <w:szCs w:val="28"/>
          <w:lang w:eastAsia="ru-RU"/>
        </w:rPr>
        <w:t xml:space="preserve">, </w:t>
      </w:r>
      <w:hyperlink r:id="rId27" w:tgtFrame="https://www.gibdd.ru/r/66/contacts/div1165058/">
        <w:r>
          <w:rPr>
            <w:rFonts w:eastAsia="Times New Roman" w:ascii="Times New Roman" w:hAnsi="Times New Roman"/>
            <w:bCs/>
            <w:sz w:val="28"/>
            <w:szCs w:val="28"/>
            <w:lang w:eastAsia="ru-RU"/>
          </w:rPr>
          <w:t>ОГИБДД ММО МВД России "Шалинский</w:t>
        </w:r>
      </w:hyperlink>
      <w:r>
        <w:rPr>
          <w:rFonts w:eastAsia="Times New Roman" w:ascii="Times New Roman" w:hAnsi="Times New Roman"/>
          <w:sz w:val="28"/>
          <w:szCs w:val="28"/>
          <w:lang w:eastAsia="ru-RU"/>
        </w:rPr>
        <w:t xml:space="preserve">", </w:t>
      </w:r>
      <w:hyperlink r:id="rId28" w:tgtFrame="https://www.gibdd.ru/r/66/contacts/div1165043/">
        <w:r>
          <w:rPr>
            <w:rFonts w:eastAsia="Times New Roman" w:ascii="Times New Roman" w:hAnsi="Times New Roman"/>
            <w:bCs/>
            <w:sz w:val="28"/>
            <w:szCs w:val="28"/>
            <w:lang w:eastAsia="ru-RU"/>
          </w:rPr>
          <w:t>ОГИБДД ММО МВД России по Новолялинскому району</w:t>
        </w:r>
      </w:hyperlink>
      <w:r>
        <w:rPr>
          <w:rFonts w:eastAsia="Times New Roman" w:ascii="Times New Roman" w:hAnsi="Times New Roman"/>
          <w:sz w:val="28"/>
          <w:szCs w:val="28"/>
          <w:lang w:eastAsia="ru-RU"/>
        </w:rPr>
        <w:t xml:space="preserve">, </w:t>
      </w:r>
      <w:r>
        <w:rPr>
          <w:rFonts w:ascii="Times New Roman" w:hAnsi="Times New Roman"/>
          <w:sz w:val="28"/>
          <w:szCs w:val="28"/>
        </w:rPr>
        <w:t>3 отд. МОТОТРЭР ГИБДД УВД по ЦАО г. Москвы</w:t>
      </w:r>
      <w:r>
        <w:rPr>
          <w:rFonts w:eastAsia="Times New Roman" w:ascii="Times New Roman" w:hAnsi="Times New Roman"/>
          <w:sz w:val="28"/>
          <w:szCs w:val="28"/>
          <w:lang w:eastAsia="ru-RU"/>
        </w:rPr>
        <w:t xml:space="preserve"> и т.д. Указанные данные заполняются </w:t>
      </w:r>
      <w:r>
        <w:rPr>
          <w:rFonts w:ascii="Times New Roman" w:hAnsi="Times New Roman"/>
          <w:color w:val="000000"/>
          <w:sz w:val="28"/>
          <w:szCs w:val="28"/>
        </w:rPr>
        <w:t>согласно официальным документам (например,</w:t>
      </w:r>
      <w:r>
        <w:rPr>
          <w:rFonts w:eastAsia="Times New Roman" w:ascii="Times New Roman" w:hAnsi="Times New Roman"/>
          <w:sz w:val="28"/>
          <w:szCs w:val="28"/>
          <w:lang w:eastAsia="ru-RU"/>
        </w:rPr>
        <w:t xml:space="preserve"> </w:t>
      </w:r>
      <w:r>
        <w:rPr>
          <w:rFonts w:ascii="Times New Roman" w:hAnsi="Times New Roman"/>
          <w:color w:val="000000"/>
          <w:sz w:val="28"/>
          <w:szCs w:val="28"/>
        </w:rPr>
        <w:t xml:space="preserve">согласно </w:t>
      </w:r>
      <w:r>
        <w:rPr>
          <w:rFonts w:ascii="Times New Roman" w:hAnsi="Times New Roman"/>
          <w:sz w:val="28"/>
          <w:szCs w:val="28"/>
        </w:rPr>
        <w:t>паспорту транспортного средства или свидетельству о регистрации транспортного средства).</w:t>
      </w:r>
    </w:p>
    <w:p>
      <w:pPr>
        <w:pStyle w:val="ListParagraph"/>
        <w:ind w:left="0" w:firstLine="567"/>
        <w:rPr>
          <w:rFonts w:ascii="Times New Roman" w:hAnsi="Times New Roman"/>
          <w:sz w:val="28"/>
          <w:szCs w:val="28"/>
        </w:rPr>
      </w:pPr>
      <w:r>
        <w:rPr>
          <w:rFonts w:ascii="Times New Roman" w:hAnsi="Times New Roman"/>
          <w:sz w:val="28"/>
          <w:szCs w:val="28"/>
        </w:rPr>
        <w:t>Также допускается указание только кода подразделения ГИБДД в соответствии со свидетельством о регистрации транспортного средства.</w:t>
      </w:r>
    </w:p>
    <w:p>
      <w:pPr>
        <w:pStyle w:val="ListParagraph"/>
        <w:ind w:left="0" w:firstLine="567"/>
        <w:rPr>
          <w:rFonts w:ascii="Times New Roman" w:hAnsi="Times New Roman"/>
          <w:sz w:val="28"/>
          <w:szCs w:val="28"/>
        </w:rPr>
      </w:pPr>
      <w:r>
        <w:rPr>
          <w:rFonts w:ascii="Times New Roman" w:hAnsi="Times New Roman"/>
          <w:sz w:val="28"/>
          <w:szCs w:val="28"/>
        </w:rPr>
        <w:t xml:space="preserve">В случае отсутствия регистрации допускается указать "Отсутствует".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"Иные транспортные средства"</w:t>
      </w:r>
      <w:r>
        <w:rPr>
          <w:rFonts w:ascii="Times New Roman" w:hAnsi="Times New Roman"/>
          <w:sz w:val="28"/>
          <w:szCs w:val="28"/>
        </w:rPr>
        <w:t xml:space="preserve"> подлежат указанию, в частности, прицепы, зарегистрированные в установленном порядке.</w:t>
      </w:r>
    </w:p>
    <w:p>
      <w:pPr>
        <w:pStyle w:val="ListParagraph"/>
        <w:ind w:left="0" w:firstLine="567"/>
        <w:rPr>
          <w:rFonts w:ascii="Times New Roman" w:hAnsi="Times New Roman"/>
          <w:sz w:val="28"/>
          <w:szCs w:val="28"/>
        </w:rPr>
      </w:pPr>
      <w:r>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pPr>
        <w:pStyle w:val="Normal"/>
        <w:ind w:firstLine="567"/>
        <w:rPr>
          <w:rFonts w:ascii="Times New Roman" w:hAnsi="Times New Roman"/>
          <w:b/>
          <w:sz w:val="28"/>
          <w:szCs w:val="28"/>
        </w:rPr>
      </w:pPr>
      <w:r>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pPr>
        <w:pStyle w:val="ListParagraph"/>
        <w:widowControl w:val="false"/>
        <w:numPr>
          <w:ilvl w:val="0"/>
          <w:numId w:val="1"/>
        </w:numPr>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pPr>
        <w:pStyle w:val="ListParagraph"/>
        <w:widowControl w:val="false"/>
        <w:numPr>
          <w:ilvl w:val="0"/>
          <w:numId w:val="1"/>
        </w:numPr>
        <w:ind w:left="0" w:firstLine="567"/>
        <w:rPr>
          <w:rStyle w:val="Style13"/>
          <w:rFonts w:ascii="Times New Roman" w:hAnsi="Times New Roman" w:cs="Times New Roman"/>
          <w:b/>
          <w:sz w:val="28"/>
          <w:szCs w:val="28"/>
          <w:shd w:fill="auto" w:val="clear"/>
        </w:rPr>
      </w:pPr>
      <w:r>
        <w:rPr>
          <w:rStyle w:val="Style13"/>
          <w:rFonts w:cs="Times New Roman" w:ascii="Times New Roman" w:hAnsi="Times New Roman"/>
          <w:sz w:val="28"/>
          <w:szCs w:val="28"/>
          <w:shd w:fill="auto" w:val="clear"/>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 в том числе цифровые финансовые активы, выпущенные в информационных системах, организованных в соответствии с иностранным правом.</w:t>
      </w:r>
    </w:p>
    <w:p>
      <w:pPr>
        <w:pStyle w:val="Normal"/>
        <w:widowControl w:val="false"/>
        <w:ind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pPr>
        <w:pStyle w:val="ListParagraph"/>
        <w:widowControl w:val="false"/>
        <w:numPr>
          <w:ilvl w:val="0"/>
          <w:numId w:val="1"/>
        </w:numPr>
        <w:ind w:left="0" w:firstLine="567"/>
        <w:rPr>
          <w:rStyle w:val="Style13"/>
          <w:rFonts w:ascii="Times New Roman" w:hAnsi="Times New Roman" w:cs="Times New Roman"/>
          <w:b/>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Наименование цифрового финансового актива или цифрового права</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pPr>
        <w:pStyle w:val="ListParagraph"/>
        <w:widowControl w:val="false"/>
        <w:numPr>
          <w:ilvl w:val="0"/>
          <w:numId w:val="1"/>
        </w:numPr>
        <w:ind w:left="0" w:firstLine="567"/>
        <w:rPr>
          <w:rStyle w:val="Style13"/>
          <w:rFonts w:ascii="Times New Roman" w:hAnsi="Times New Roman" w:cs="Times New Roman"/>
          <w:b/>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Дата приобретения</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указывается дата приобретения цифрового финансового актива</w:t>
      </w:r>
      <w:r>
        <w:rPr>
          <w:rFonts w:ascii="Times New Roman" w:hAnsi="Times New Roman"/>
          <w:sz w:val="28"/>
          <w:szCs w:val="28"/>
        </w:rPr>
        <w:t>, цифрового права, включающего одновременно цифровые финансовые активы и иные цифровые права,</w:t>
      </w:r>
      <w:r>
        <w:rPr>
          <w:rStyle w:val="Style13"/>
          <w:rFonts w:cs="Times New Roman" w:ascii="Times New Roman" w:hAnsi="Times New Roman"/>
          <w:sz w:val="28"/>
          <w:szCs w:val="28"/>
          <w:shd w:fill="auto" w:val="clear"/>
        </w:rPr>
        <w:t xml:space="preserve"> или иного цифрового права.</w:t>
      </w:r>
    </w:p>
    <w:p>
      <w:pPr>
        <w:pStyle w:val="ListParagraph"/>
        <w:widowControl w:val="false"/>
        <w:numPr>
          <w:ilvl w:val="0"/>
          <w:numId w:val="1"/>
        </w:numPr>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Общее количество</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указывается общее количество приобретенных цифровых финансовых активов</w:t>
      </w:r>
      <w:r>
        <w:rPr>
          <w:rFonts w:ascii="Times New Roman" w:hAnsi="Times New Roman"/>
          <w:sz w:val="28"/>
          <w:szCs w:val="28"/>
        </w:rPr>
        <w:t>, цифровых прав, включающих одновременно цифровые финансовые активы и иные цифровые права,</w:t>
      </w:r>
      <w:r>
        <w:rPr>
          <w:rStyle w:val="Style13"/>
          <w:rFonts w:cs="Times New Roman" w:ascii="Times New Roman" w:hAnsi="Times New Roman"/>
          <w:sz w:val="28"/>
          <w:szCs w:val="28"/>
          <w:shd w:fill="auto" w:val="clear"/>
        </w:rPr>
        <w:t xml:space="preserve"> или цифровых прав.</w:t>
      </w:r>
    </w:p>
    <w:p>
      <w:pPr>
        <w:pStyle w:val="ListParagraph"/>
        <w:widowControl w:val="false"/>
        <w:numPr>
          <w:ilvl w:val="0"/>
          <w:numId w:val="1"/>
        </w:numPr>
        <w:ind w:left="0" w:firstLine="567"/>
        <w:rPr>
          <w:rStyle w:val="Style13"/>
          <w:rFonts w:ascii="Times New Roman" w:hAnsi="Times New Roman" w:cs="Times New Roman"/>
          <w:b/>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Сведения об операторе информационной системы, в которой осуществляется выпуск цифровых финансовых активов</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pPr>
        <w:pStyle w:val="ListParagraph"/>
        <w:widowControl w:val="false"/>
        <w:numPr>
          <w:ilvl w:val="0"/>
          <w:numId w:val="1"/>
        </w:numPr>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https://cbr.ru/admissionfinmarket/navigator/ois/.</w:t>
      </w:r>
    </w:p>
    <w:p>
      <w:pPr>
        <w:pStyle w:val="Normal"/>
        <w:ind w:firstLine="567"/>
        <w:rPr>
          <w:rFonts w:ascii="Times New Roman" w:hAnsi="Times New Roman"/>
          <w:sz w:val="28"/>
          <w:szCs w:val="28"/>
        </w:rPr>
      </w:pPr>
      <w:r>
        <w:rPr>
          <w:rFonts w:ascii="Times New Roman" w:hAnsi="Times New Roman"/>
          <w:b/>
          <w:sz w:val="28"/>
          <w:szCs w:val="28"/>
        </w:rPr>
        <w:t>Подраздел 3.4. Утилитарные цифровые права</w:t>
      </w:r>
    </w:p>
    <w:p>
      <w:pPr>
        <w:pStyle w:val="ListParagraph"/>
        <w:widowControl w:val="false"/>
        <w:numPr>
          <w:ilvl w:val="0"/>
          <w:numId w:val="1"/>
        </w:numPr>
        <w:ind w:left="0" w:firstLine="567"/>
        <w:rPr>
          <w:rStyle w:val="Style13"/>
          <w:rFonts w:ascii="Times New Roman" w:hAnsi="Times New Roman" w:cs="Times New Roman"/>
          <w:b/>
          <w:sz w:val="28"/>
          <w:szCs w:val="28"/>
          <w:shd w:fill="auto" w:val="clear"/>
        </w:rPr>
      </w:pPr>
      <w:r>
        <w:rPr>
          <w:rStyle w:val="Style13"/>
          <w:rFonts w:cs="Times New Roman" w:ascii="Times New Roman" w:hAnsi="Times New Roman"/>
          <w:sz w:val="28"/>
          <w:szCs w:val="28"/>
          <w:shd w:fill="auto" w:val="clear"/>
        </w:rPr>
        <w:t xml:space="preserve">Частью 1 статьи 8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(утилитарные цифровые права): </w:t>
      </w:r>
    </w:p>
    <w:p>
      <w:pPr>
        <w:pStyle w:val="ListParagraph"/>
        <w:widowControl w:val="false"/>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1) право требовать передачи вещи (вещей) (например, право требования золота в слитках при инвестировании в добычу золота); </w:t>
      </w:r>
    </w:p>
    <w:p>
      <w:pPr>
        <w:pStyle w:val="ListParagraph"/>
        <w:widowControl w:val="false"/>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 </w:t>
      </w:r>
    </w:p>
    <w:p>
      <w:pPr>
        <w:pStyle w:val="ListParagraph"/>
        <w:widowControl w:val="false"/>
        <w:tabs>
          <w:tab w:val="clear" w:pos="709"/>
          <w:tab w:val="left" w:pos="142" w:leader="none"/>
        </w:tabs>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 </w:t>
      </w:r>
    </w:p>
    <w:p>
      <w:pPr>
        <w:pStyle w:val="ListParagraph"/>
        <w:widowControl w:val="false"/>
        <w:numPr>
          <w:ilvl w:val="0"/>
          <w:numId w:val="1"/>
        </w:numPr>
        <w:tabs>
          <w:tab w:val="clear" w:pos="709"/>
          <w:tab w:val="left" w:pos="142" w:leader="none"/>
        </w:tabs>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Приобретение утилитарных цифровых прав является одним из способов инвестирования с использованием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pPr>
        <w:pStyle w:val="ListParagraph"/>
        <w:widowControl w:val="false"/>
        <w:numPr>
          <w:ilvl w:val="0"/>
          <w:numId w:val="1"/>
        </w:numPr>
        <w:tabs>
          <w:tab w:val="clear" w:pos="709"/>
          <w:tab w:val="left" w:pos="142" w:leader="none"/>
        </w:tabs>
        <w:ind w:left="0" w:firstLine="567"/>
        <w:rPr>
          <w:rStyle w:val="Style13"/>
          <w:rFonts w:ascii="Times New Roman" w:hAnsi="Times New Roman" w:cs="Times New Roman"/>
          <w:b/>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Уникальное условное обозначение</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указывается уникальное условное обозначение, идентифицирующее утилитарное цифровое право.</w:t>
      </w:r>
    </w:p>
    <w:p>
      <w:pPr>
        <w:pStyle w:val="ListParagraph"/>
        <w:widowControl w:val="false"/>
        <w:numPr>
          <w:ilvl w:val="0"/>
          <w:numId w:val="1"/>
        </w:numPr>
        <w:tabs>
          <w:tab w:val="clear" w:pos="709"/>
          <w:tab w:val="left" w:pos="142" w:leader="none"/>
        </w:tabs>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Дата приобретения</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указывается дата приобретения утилитарного цифрового права.</w:t>
      </w:r>
    </w:p>
    <w:p>
      <w:pPr>
        <w:pStyle w:val="ListParagraph"/>
        <w:widowControl w:val="false"/>
        <w:numPr>
          <w:ilvl w:val="0"/>
          <w:numId w:val="1"/>
        </w:numPr>
        <w:ind w:left="0" w:firstLine="567"/>
        <w:rPr>
          <w:rStyle w:val="Style13"/>
          <w:rFonts w:ascii="Times New Roman" w:hAnsi="Times New Roman" w:cs="Times New Roman"/>
          <w:b/>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Объем инвестиций (руб.)</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указывается объем инвестиций в рублях в соответствии с договором инвестирования.</w:t>
      </w:r>
      <w:r>
        <w:rPr>
          <w:rFonts w:ascii="Times New Roman" w:hAnsi="Times New Roman"/>
          <w:sz w:val="28"/>
          <w:szCs w:val="28"/>
        </w:rPr>
        <w:t xml:space="preserve"> </w:t>
      </w:r>
      <w:r>
        <w:rPr>
          <w:rStyle w:val="Style13"/>
          <w:rFonts w:cs="Times New Roman" w:ascii="Times New Roman" w:hAnsi="Times New Roman"/>
          <w:sz w:val="28"/>
          <w:szCs w:val="28"/>
          <w:shd w:fill="auto" w:val="clear"/>
        </w:rPr>
        <w:t xml:space="preserve">Инвестиции, выраженные в иностранной валюте, указываются в рублях по курсу Банка России на дату их осуществления </w:t>
      </w:r>
      <w:r>
        <w:rPr>
          <w:rFonts w:eastAsia="Times New Roman" w:ascii="Times New Roman" w:hAnsi="Times New Roman"/>
          <w:sz w:val="28"/>
          <w:szCs w:val="28"/>
          <w:lang w:eastAsia="ru-RU"/>
        </w:rPr>
        <w:t xml:space="preserve">(с учетом положений </w:t>
      </w:r>
      <w:r>
        <w:rPr>
          <w:rFonts w:ascii="Times New Roman" w:hAnsi="Times New Roman"/>
          <w:sz w:val="28"/>
        </w:rPr>
        <w:t xml:space="preserve">пункта </w:t>
      </w:r>
      <w:r>
        <w:rPr>
          <w:rFonts w:eastAsia="Times New Roman" w:ascii="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eastAsia="Times New Roman" w:ascii="Times New Roman" w:hAnsi="Times New Roman"/>
          <w:sz w:val="28"/>
          <w:szCs w:val="28"/>
          <w:lang w:eastAsia="ru-RU"/>
        </w:rPr>
        <w:t>)</w:t>
      </w:r>
      <w:r>
        <w:rPr>
          <w:rStyle w:val="Style13"/>
          <w:rFonts w:cs="Times New Roman" w:ascii="Times New Roman" w:hAnsi="Times New Roman"/>
          <w:sz w:val="28"/>
          <w:szCs w:val="28"/>
          <w:shd w:fill="auto" w:val="clear"/>
        </w:rPr>
        <w:t>.</w:t>
      </w:r>
    </w:p>
    <w:p>
      <w:pPr>
        <w:pStyle w:val="Normal"/>
        <w:widowControl w:val="false"/>
        <w:ind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Под инвестициями в соответствии с пунктом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pPr>
        <w:pStyle w:val="ListParagraph"/>
        <w:widowControl w:val="false"/>
        <w:numPr>
          <w:ilvl w:val="0"/>
          <w:numId w:val="1"/>
        </w:numPr>
        <w:ind w:left="0" w:firstLine="567"/>
        <w:rPr>
          <w:rStyle w:val="Style13"/>
          <w:rFonts w:ascii="Times New Roman" w:hAnsi="Times New Roman" w:cs="Times New Roman"/>
          <w:b/>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Сведения об операторе инвестиционной платформы</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pPr>
        <w:pStyle w:val="ListParagraph"/>
        <w:widowControl w:val="false"/>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Реестр операторов инвестиционных платформ размещен на официальном сайте Банка России по ссылке: https://cbr.ru/admissionfinmarket/navigator/oip/</w:t>
      </w:r>
      <w:r>
        <w:rPr>
          <w:rFonts w:ascii="Times New Roman" w:hAnsi="Times New Roman"/>
          <w:sz w:val="28"/>
          <w:szCs w:val="28"/>
        </w:rPr>
        <w:t xml:space="preserve">. </w:t>
      </w:r>
    </w:p>
    <w:p>
      <w:pPr>
        <w:pStyle w:val="ListParagraph"/>
        <w:widowControl w:val="false"/>
        <w:ind w:left="0" w:firstLine="567"/>
        <w:rPr>
          <w:rStyle w:val="Style13"/>
          <w:rFonts w:ascii="Times New Roman" w:hAnsi="Times New Roman" w:cs="Times New Roman"/>
          <w:sz w:val="28"/>
          <w:szCs w:val="28"/>
          <w:shd w:fill="auto" w:val="clear"/>
        </w:rPr>
      </w:pPr>
      <w:r>
        <w:rPr>
          <w:rFonts w:ascii="Times New Roman" w:hAnsi="Times New Roman"/>
          <w:b/>
          <w:sz w:val="28"/>
          <w:szCs w:val="28"/>
        </w:rPr>
        <w:t>Подраздел 3.5. Цифровая валюта</w:t>
      </w:r>
    </w:p>
    <w:p>
      <w:pPr>
        <w:pStyle w:val="ListParagraph"/>
        <w:widowControl w:val="false"/>
        <w:numPr>
          <w:ilvl w:val="0"/>
          <w:numId w:val="1"/>
        </w:numPr>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pPr>
        <w:pStyle w:val="ListParagraph"/>
        <w:widowControl w:val="false"/>
        <w:numPr>
          <w:ilvl w:val="0"/>
          <w:numId w:val="1"/>
        </w:numPr>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pPr>
        <w:pStyle w:val="ListParagraph"/>
        <w:widowControl w:val="false"/>
        <w:numPr>
          <w:ilvl w:val="0"/>
          <w:numId w:val="1"/>
        </w:numPr>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Примерами цифровой валюты являются: Биткоин (BTC), Эфириум (ETH), Тезер (USDT) и др.</w:t>
      </w:r>
    </w:p>
    <w:p>
      <w:pPr>
        <w:pStyle w:val="ListParagraph"/>
        <w:widowControl w:val="false"/>
        <w:numPr>
          <w:ilvl w:val="0"/>
          <w:numId w:val="1"/>
        </w:numPr>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Наименование цифровой валюты</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указывается наименование цифровой валюты в соответствии с применимыми документами (без произвольной транслитерации).</w:t>
      </w:r>
    </w:p>
    <w:p>
      <w:pPr>
        <w:pStyle w:val="ListParagraph"/>
        <w:widowControl w:val="false"/>
        <w:numPr>
          <w:ilvl w:val="0"/>
          <w:numId w:val="1"/>
        </w:numPr>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Дата приобретения</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указывается дата приобретения цифровой валюты.</w:t>
      </w:r>
    </w:p>
    <w:p>
      <w:pPr>
        <w:pStyle w:val="ListParagraph"/>
        <w:widowControl w:val="false"/>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 xml:space="preserve">В отношении цифровой валюты, полученной в результате осуществления майнинга или участия в майнинг-пуле, в графе </w:t>
      </w:r>
      <w:r>
        <w:rPr>
          <w:rStyle w:val="Style13"/>
          <w:rFonts w:cs="Times New Roman" w:ascii="Times New Roman" w:hAnsi="Times New Roman"/>
          <w:b/>
          <w:sz w:val="28"/>
          <w:szCs w:val="28"/>
          <w:shd w:fill="auto" w:val="clear"/>
        </w:rPr>
        <w:t>"Дата приобретения"</w:t>
      </w:r>
      <w:r>
        <w:rPr>
          <w:rStyle w:val="Style13"/>
          <w:rFonts w:cs="Times New Roman" w:ascii="Times New Roman" w:hAnsi="Times New Roman"/>
          <w:sz w:val="28"/>
          <w:szCs w:val="28"/>
          <w:shd w:fill="auto" w:val="clear"/>
        </w:rPr>
        <w:t xml:space="preserve"> указывается дата получения цифровой валюты лицом, осуществляющим майнинг цифровой валюты (в том числе участником майнинг-пула).</w:t>
      </w:r>
    </w:p>
    <w:p>
      <w:pPr>
        <w:pStyle w:val="ListParagraph"/>
        <w:widowControl w:val="false"/>
        <w:numPr>
          <w:ilvl w:val="0"/>
          <w:numId w:val="1"/>
        </w:numPr>
        <w:ind w:left="0" w:firstLine="567"/>
        <w:rPr>
          <w:rFonts w:ascii="Times New Roman" w:hAnsi="Times New Roman"/>
          <w:b/>
          <w:sz w:val="28"/>
          <w:szCs w:val="28"/>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w:t>
      </w:r>
      <w:r>
        <w:rPr>
          <w:rStyle w:val="Style13"/>
          <w:rFonts w:cs="Times New Roman" w:ascii="Times New Roman" w:hAnsi="Times New Roman"/>
          <w:b/>
          <w:sz w:val="28"/>
          <w:szCs w:val="28"/>
          <w:shd w:fill="auto" w:val="clear"/>
        </w:rPr>
        <w:t>Общее количество</w:t>
      </w:r>
      <w:r>
        <w:rPr>
          <w:rStyle w:val="Style13"/>
          <w:rFonts w:ascii="Times New Roman" w:hAnsi="Times New Roman"/>
          <w:b/>
          <w:sz w:val="28"/>
          <w:shd w:fill="auto" w:val="clear"/>
        </w:rPr>
        <w:t>"</w:t>
      </w:r>
      <w:r>
        <w:rPr>
          <w:rStyle w:val="Style13"/>
          <w:rFonts w:cs="Times New Roman" w:ascii="Times New Roman" w:hAnsi="Times New Roman"/>
          <w:sz w:val="28"/>
          <w:szCs w:val="28"/>
          <w:shd w:fill="auto" w:val="clear"/>
        </w:rPr>
        <w:t xml:space="preserve"> указывается точное количество цифровой валюты, находящейся в собственности (без округления). </w:t>
      </w:r>
    </w:p>
    <w:p>
      <w:pPr>
        <w:pStyle w:val="ListParagraph"/>
        <w:ind w:left="0" w:firstLine="851"/>
        <w:rPr>
          <w:rFonts w:ascii="Times New Roman" w:hAnsi="Times New Roman"/>
          <w:sz w:val="28"/>
          <w:szCs w:val="28"/>
        </w:rPr>
      </w:pPr>
      <w:r>
        <w:rPr>
          <w:rFonts w:ascii="Times New Roman" w:hAnsi="Times New Roman"/>
          <w:sz w:val="28"/>
          <w:szCs w:val="28"/>
        </w:rPr>
      </w:r>
    </w:p>
    <w:p>
      <w:pPr>
        <w:pStyle w:val="Normal"/>
        <w:ind w:hanging="0"/>
        <w:jc w:val="center"/>
        <w:rPr>
          <w:rFonts w:ascii="Times New Roman" w:hAnsi="Times New Roman"/>
          <w:b/>
          <w:sz w:val="28"/>
          <w:szCs w:val="28"/>
        </w:rPr>
      </w:pPr>
      <w:r>
        <w:rPr>
          <w:rFonts w:ascii="Times New Roman" w:hAnsi="Times New Roman"/>
          <w:b/>
          <w:sz w:val="28"/>
          <w:szCs w:val="28"/>
        </w:rPr>
        <w:t xml:space="preserve">РАЗДЕЛ 4. СВЕДЕНИЯ О СЧЕТАХ В БАНКАХ </w:t>
      </w:r>
    </w:p>
    <w:p>
      <w:pPr>
        <w:pStyle w:val="Normal"/>
        <w:ind w:hanging="0"/>
        <w:jc w:val="center"/>
        <w:rPr>
          <w:rFonts w:ascii="Times New Roman" w:hAnsi="Times New Roman"/>
          <w:b/>
          <w:sz w:val="28"/>
          <w:szCs w:val="28"/>
        </w:rPr>
      </w:pPr>
      <w:r>
        <w:rPr>
          <w:rFonts w:ascii="Times New Roman" w:hAnsi="Times New Roman"/>
          <w:b/>
          <w:sz w:val="28"/>
          <w:szCs w:val="28"/>
        </w:rPr>
        <w:t>И ИНЫХ КРЕДИТНЫХ ОРГАНИЗАЦИЯХ</w:t>
      </w:r>
    </w:p>
    <w:p>
      <w:pPr>
        <w:pStyle w:val="Normal"/>
        <w:ind w:firstLine="851"/>
        <w:jc w:val="center"/>
        <w:rPr>
          <w:rFonts w:ascii="Times New Roman" w:hAnsi="Times New Roman"/>
          <w:b/>
          <w:sz w:val="28"/>
          <w:szCs w:val="28"/>
        </w:rPr>
      </w:pPr>
      <w:r>
        <w:rPr>
          <w:rFonts w:ascii="Times New Roman" w:hAnsi="Times New Roman"/>
          <w:b/>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pPr>
        <w:pStyle w:val="Normal"/>
        <w:tabs>
          <w:tab w:val="clear" w:pos="709"/>
          <w:tab w:val="left" w:pos="567" w:leader="none"/>
          <w:tab w:val="left" w:pos="993" w:leader="none"/>
        </w:tabs>
        <w:rPr>
          <w:rFonts w:ascii="Times New Roman" w:hAnsi="Times New Roman"/>
          <w:color w:val="000000"/>
          <w:sz w:val="28"/>
          <w:szCs w:val="28"/>
        </w:rPr>
      </w:pPr>
      <w:r>
        <w:rPr>
          <w:rFonts w:ascii="Times New Roman" w:hAnsi="Times New Roman"/>
          <w:color w:val="000000"/>
          <w:sz w:val="28"/>
          <w:szCs w:val="28"/>
        </w:rPr>
        <w:t xml:space="preserve">Информация о счетах, закрытых по состоянию на отчетную дату, не подлежит отражению в справке. </w:t>
      </w:r>
    </w:p>
    <w:p>
      <w:pPr>
        <w:pStyle w:val="ListParagraph"/>
        <w:ind w:left="0" w:firstLine="567"/>
        <w:rPr>
          <w:rFonts w:ascii="Times New Roman" w:hAnsi="Times New Roman"/>
          <w:color w:val="000000"/>
          <w:sz w:val="28"/>
          <w:szCs w:val="28"/>
        </w:rPr>
      </w:pPr>
      <w:r>
        <w:rPr>
          <w:rFonts w:ascii="Times New Roman" w:hAnsi="Times New Roman"/>
          <w:color w:val="000000"/>
          <w:sz w:val="28"/>
          <w:szCs w:val="28"/>
        </w:rPr>
        <w:t>В данном разделе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раздела 4 справки не усматриваются. К</w:t>
      </w:r>
      <w:r>
        <w:rPr>
          <w:rFonts w:ascii="Times New Roman" w:hAnsi="Times New Roman"/>
          <w:sz w:val="28"/>
          <w:szCs w:val="28"/>
        </w:rPr>
        <w:t>арта может быть не привязана к счету, например, при открытии "Пушкинской карты" и др.</w:t>
      </w:r>
    </w:p>
    <w:p>
      <w:pPr>
        <w:pStyle w:val="ListParagraph"/>
        <w:ind w:left="0" w:firstLine="567"/>
        <w:rPr>
          <w:rFonts w:ascii="Times New Roman" w:hAnsi="Times New Roman"/>
          <w:color w:val="000000"/>
          <w:sz w:val="28"/>
          <w:szCs w:val="28"/>
        </w:rPr>
      </w:pPr>
      <w:r>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"Текущего" или "Депозитного").</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частности, подлежит указанию информация о следующих открытых счетах (в том числе о счетах, к которым не эмитированы (не выпущены) платежные карты):</w:t>
      </w:r>
    </w:p>
    <w:p>
      <w:pPr>
        <w:pStyle w:val="ListParagraph"/>
        <w:ind w:left="0" w:firstLine="567"/>
        <w:rPr>
          <w:rFonts w:ascii="Times New Roman" w:hAnsi="Times New Roman"/>
          <w:sz w:val="28"/>
          <w:szCs w:val="28"/>
        </w:rPr>
      </w:pPr>
      <w:r>
        <w:rPr>
          <w:rFonts w:ascii="Times New Roman" w:hAnsi="Times New Roman"/>
          <w:sz w:val="28"/>
          <w:szCs w:val="28"/>
        </w:rPr>
        <w:t>1) счета с нулевым остатком по состоянию на отчетную дату;</w:t>
      </w:r>
    </w:p>
    <w:p>
      <w:pPr>
        <w:pStyle w:val="ListParagraph"/>
        <w:ind w:left="0" w:firstLine="567"/>
        <w:rPr>
          <w:rFonts w:ascii="Times New Roman" w:hAnsi="Times New Roman"/>
          <w:sz w:val="28"/>
          <w:szCs w:val="28"/>
        </w:rPr>
      </w:pPr>
      <w:r>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pPr>
        <w:pStyle w:val="ListParagraph"/>
        <w:ind w:left="0" w:firstLine="567"/>
        <w:rPr>
          <w:rFonts w:ascii="Times New Roman" w:hAnsi="Times New Roman"/>
          <w:sz w:val="28"/>
          <w:szCs w:val="28"/>
        </w:rPr>
      </w:pPr>
      <w:r>
        <w:rPr>
          <w:rFonts w:ascii="Times New Roman" w:hAnsi="Times New Roman"/>
          <w:sz w:val="28"/>
          <w:szCs w:val="28"/>
        </w:rPr>
        <w:t>3) счета (вклады) в иностранных банках, расположенных за пределами Российской Федерации.</w:t>
      </w:r>
    </w:p>
    <w:p>
      <w:pPr>
        <w:pStyle w:val="Normal"/>
        <w:numPr>
          <w:ilvl w:val="0"/>
          <w:numId w:val="0"/>
        </w:numPr>
        <w:ind w:firstLine="567"/>
        <w:outlineLvl w:val="1"/>
        <w:rPr>
          <w:rStyle w:val="Style13"/>
          <w:rFonts w:ascii="Times New Roman" w:hAnsi="Times New Roman" w:cs="Times New Roman"/>
          <w:color w:val="000000"/>
          <w:sz w:val="28"/>
          <w:szCs w:val="28"/>
        </w:rPr>
      </w:pPr>
      <w:r>
        <w:rPr>
          <w:rStyle w:val="Style13"/>
          <w:rFonts w:cs="Times New Roman" w:ascii="Times New Roman" w:hAnsi="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pPr>
        <w:pStyle w:val="ListParagraph"/>
        <w:ind w:left="0" w:firstLine="567"/>
        <w:rPr>
          <w:rFonts w:ascii="Times New Roman" w:hAnsi="Times New Roman"/>
          <w:sz w:val="28"/>
          <w:szCs w:val="28"/>
        </w:rPr>
      </w:pPr>
      <w:r>
        <w:rPr>
          <w:rFonts w:ascii="Times New Roman" w:hAnsi="Times New Roman"/>
          <w:sz w:val="28"/>
          <w:szCs w:val="28"/>
        </w:rPr>
        <w:t>4) счета, открытые для погашения кредита;</w:t>
      </w:r>
    </w:p>
    <w:p>
      <w:pPr>
        <w:pStyle w:val="ListParagraph"/>
        <w:ind w:left="0" w:firstLine="567"/>
        <w:rPr>
          <w:rFonts w:ascii="Times New Roman" w:hAnsi="Times New Roman"/>
          <w:sz w:val="28"/>
          <w:szCs w:val="28"/>
        </w:rPr>
      </w:pPr>
      <w:r>
        <w:rPr>
          <w:rFonts w:ascii="Times New Roman" w:hAnsi="Times New Roman"/>
          <w:sz w:val="28"/>
          <w:szCs w:val="28"/>
        </w:rPr>
        <w:t>5) вклады (счета) в драгоценных металлах (в том числе указывается вид счета и металл, в котором он открыт);</w:t>
      </w:r>
    </w:p>
    <w:p>
      <w:pPr>
        <w:pStyle w:val="ListParagraph"/>
        <w:ind w:left="0" w:firstLine="567"/>
        <w:rPr>
          <w:rFonts w:ascii="Times New Roman" w:hAnsi="Times New Roman"/>
          <w:sz w:val="28"/>
          <w:szCs w:val="28"/>
        </w:rPr>
      </w:pPr>
      <w:r>
        <w:rPr>
          <w:rFonts w:ascii="Times New Roman" w:hAnsi="Times New Roman"/>
          <w:sz w:val="28"/>
          <w:szCs w:val="28"/>
        </w:rPr>
        <w:t>6) счета, открытые гражданам, зарегистрированным в качестве индивидуальных предпринимателей;</w:t>
      </w:r>
    </w:p>
    <w:p>
      <w:pPr>
        <w:pStyle w:val="ListParagraph"/>
        <w:ind w:left="0" w:firstLine="567"/>
        <w:rPr>
          <w:rFonts w:ascii="Times New Roman" w:hAnsi="Times New Roman"/>
          <w:sz w:val="28"/>
          <w:szCs w:val="28"/>
        </w:rPr>
      </w:pPr>
      <w:r>
        <w:rPr>
          <w:rFonts w:ascii="Times New Roman" w:hAnsi="Times New Roman"/>
          <w:sz w:val="28"/>
          <w:szCs w:val="28"/>
        </w:rPr>
        <w:t>7) номинальный счет;</w:t>
      </w:r>
    </w:p>
    <w:p>
      <w:pPr>
        <w:pStyle w:val="ListParagraph"/>
        <w:ind w:left="0" w:firstLine="567"/>
        <w:rPr>
          <w:rFonts w:ascii="Times New Roman" w:hAnsi="Times New Roman"/>
          <w:sz w:val="28"/>
          <w:szCs w:val="28"/>
        </w:rPr>
      </w:pPr>
      <w:r>
        <w:rPr>
          <w:rFonts w:ascii="Times New Roman" w:hAnsi="Times New Roman"/>
          <w:sz w:val="28"/>
          <w:szCs w:val="28"/>
        </w:rPr>
        <w:t>8) счет эскроу;</w:t>
      </w:r>
    </w:p>
    <w:p>
      <w:pPr>
        <w:pStyle w:val="ListParagraph"/>
        <w:ind w:left="0" w:firstLine="567"/>
        <w:rPr>
          <w:rFonts w:ascii="Times New Roman" w:hAnsi="Times New Roman"/>
          <w:sz w:val="28"/>
          <w:szCs w:val="28"/>
        </w:rPr>
      </w:pPr>
      <w:r>
        <w:rPr>
          <w:rFonts w:ascii="Times New Roman" w:hAnsi="Times New Roman"/>
          <w:sz w:val="28"/>
          <w:szCs w:val="28"/>
        </w:rPr>
        <w:t>9) счет цифрового рубля.</w:t>
      </w:r>
    </w:p>
    <w:p>
      <w:pPr>
        <w:pStyle w:val="Annotationtext"/>
        <w:ind w:firstLine="567"/>
        <w:rPr>
          <w:rFonts w:ascii="Times New Roman" w:hAnsi="Times New Roman"/>
          <w:sz w:val="28"/>
          <w:szCs w:val="28"/>
        </w:rPr>
      </w:pPr>
      <w:r>
        <w:rPr>
          <w:rFonts w:ascii="Times New Roman" w:hAnsi="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pPr>
        <w:pStyle w:val="ListParagraph"/>
        <w:ind w:left="0" w:firstLine="567"/>
        <w:rPr>
          <w:rFonts w:ascii="Times New Roman" w:hAnsi="Times New Roman"/>
          <w:sz w:val="28"/>
          <w:szCs w:val="28"/>
        </w:rPr>
      </w:pPr>
      <w:r>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29" w:tgtFrame="https://www.cbr.ru/hd_base/metall/metall_base_new/">
        <w:r>
          <w:rPr>
            <w:rStyle w:val="-"/>
            <w:rFonts w:ascii="Times New Roman" w:hAnsi="Times New Roman"/>
            <w:sz w:val="28"/>
            <w:szCs w:val="28"/>
          </w:rPr>
          <w:t>https://www.cbr.ru/hd_base/metall/metall_base_new/</w:t>
        </w:r>
      </w:hyperlink>
      <w:r>
        <w:rPr>
          <w:rFonts w:ascii="Times New Roman" w:hAnsi="Times New Roman"/>
          <w:sz w:val="28"/>
          <w:szCs w:val="28"/>
        </w:rPr>
        <w:t>.</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pPr>
        <w:pStyle w:val="ListParagraph"/>
        <w:ind w:left="0" w:firstLine="567"/>
        <w:rPr>
          <w:rFonts w:ascii="Times New Roman" w:hAnsi="Times New Roman"/>
          <w:sz w:val="28"/>
          <w:szCs w:val="28"/>
        </w:rPr>
      </w:pPr>
      <w:r>
        <w:rPr>
          <w:rFonts w:ascii="Times New Roman" w:hAnsi="Times New Roman"/>
          <w:sz w:val="28"/>
          <w:szCs w:val="28"/>
        </w:rPr>
        <w:t>1) счета, закрытые по состоянию на отчетную дату;</w:t>
      </w:r>
    </w:p>
    <w:p>
      <w:pPr>
        <w:pStyle w:val="ListParagraph"/>
        <w:ind w:left="0" w:firstLine="567"/>
        <w:rPr>
          <w:rFonts w:ascii="Times New Roman" w:hAnsi="Times New Roman"/>
          <w:sz w:val="28"/>
          <w:szCs w:val="28"/>
        </w:rPr>
      </w:pPr>
      <w:r>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pPr>
        <w:pStyle w:val="ListParagraph"/>
        <w:ind w:left="0" w:firstLine="567"/>
        <w:rPr>
          <w:rFonts w:ascii="Times New Roman" w:hAnsi="Times New Roman"/>
          <w:sz w:val="28"/>
          <w:szCs w:val="28"/>
        </w:rPr>
      </w:pPr>
      <w:r>
        <w:rPr>
          <w:rFonts w:ascii="Times New Roman" w:hAnsi="Times New Roman"/>
          <w:sz w:val="28"/>
          <w:szCs w:val="28"/>
        </w:rPr>
        <w:t>3) публичные депозитные счета нотариуса;</w:t>
      </w:r>
    </w:p>
    <w:p>
      <w:pPr>
        <w:pStyle w:val="ListParagraph"/>
        <w:ind w:left="0" w:firstLine="567"/>
        <w:rPr>
          <w:rFonts w:ascii="Times New Roman" w:hAnsi="Times New Roman"/>
          <w:sz w:val="28"/>
          <w:szCs w:val="28"/>
        </w:rPr>
      </w:pPr>
      <w:r>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pPr>
        <w:pStyle w:val="ListParagraph"/>
        <w:ind w:left="0" w:firstLine="567"/>
        <w:rPr>
          <w:rFonts w:ascii="Times New Roman" w:hAnsi="Times New Roman"/>
          <w:sz w:val="28"/>
          <w:szCs w:val="28"/>
        </w:rPr>
      </w:pPr>
      <w:r>
        <w:rPr>
          <w:rFonts w:ascii="Times New Roman" w:hAnsi="Times New Roman"/>
          <w:sz w:val="28"/>
          <w:szCs w:val="28"/>
        </w:rPr>
        <w:t>5) счета доверительного управления;</w:t>
      </w:r>
    </w:p>
    <w:p>
      <w:pPr>
        <w:pStyle w:val="ListParagraph"/>
        <w:ind w:left="0" w:firstLine="567"/>
        <w:rPr>
          <w:rFonts w:ascii="Times New Roman" w:hAnsi="Times New Roman"/>
          <w:sz w:val="28"/>
          <w:szCs w:val="28"/>
        </w:rPr>
      </w:pPr>
      <w:r>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pPr>
        <w:pStyle w:val="ListParagraph"/>
        <w:ind w:left="0" w:firstLine="567"/>
        <w:rPr>
          <w:rFonts w:ascii="Times New Roman" w:hAnsi="Times New Roman"/>
          <w:sz w:val="28"/>
          <w:szCs w:val="28"/>
        </w:rPr>
      </w:pPr>
      <w:r>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w:t>
      </w:r>
      <w:r>
        <w:rPr>
          <w:rFonts w:ascii="Times New Roman" w:hAnsi="Times New Roman"/>
          <w:sz w:val="28"/>
        </w:rPr>
        <w:t xml:space="preserve">подпунктом 4 пункта </w:t>
      </w:r>
      <w:r>
        <w:rPr>
          <w:rFonts w:ascii="Times New Roman" w:hAnsi="Times New Roman"/>
          <w:sz w:val="28"/>
          <w:szCs w:val="28"/>
        </w:rPr>
        <w:t>211</w:t>
      </w:r>
      <w:r>
        <w:rPr>
          <w:rFonts w:ascii="Times New Roman" w:hAnsi="Times New Roman"/>
          <w:sz w:val="28"/>
        </w:rPr>
        <w:t xml:space="preserve"> настоящих Методических рекомендаций</w:t>
      </w:r>
      <w:r>
        <w:rPr>
          <w:rFonts w:ascii="Times New Roman" w:hAnsi="Times New Roman"/>
          <w:sz w:val="28"/>
          <w:szCs w:val="28"/>
        </w:rPr>
        <w:t>.</w:t>
      </w:r>
    </w:p>
    <w:p>
      <w:pPr>
        <w:pStyle w:val="ListParagraph"/>
        <w:ind w:left="0" w:firstLine="567"/>
        <w:rPr>
          <w:rFonts w:ascii="Times New Roman" w:hAnsi="Times New Roman"/>
          <w:sz w:val="28"/>
          <w:szCs w:val="28"/>
        </w:rPr>
      </w:pPr>
      <w:r>
        <w:rPr>
          <w:rFonts w:ascii="Times New Roman" w:hAnsi="Times New Roman"/>
          <w:sz w:val="28"/>
          <w:szCs w:val="28"/>
        </w:rPr>
        <w:t>7) синтетические счета.</w:t>
      </w:r>
    </w:p>
    <w:p>
      <w:pPr>
        <w:pStyle w:val="ListParagraph"/>
        <w:numPr>
          <w:ilvl w:val="0"/>
          <w:numId w:val="1"/>
        </w:numPr>
        <w:ind w:left="0" w:firstLine="567"/>
        <w:rPr>
          <w:rFonts w:ascii="Times New Roman" w:hAnsi="Times New Roman"/>
          <w:sz w:val="28"/>
          <w:szCs w:val="28"/>
          <w:shd w:fill="FFFFFF" w:val="clear"/>
        </w:rPr>
      </w:pPr>
      <w:r>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pPr>
        <w:pStyle w:val="ListParagraph"/>
        <w:ind w:left="0" w:firstLine="567"/>
        <w:rPr>
          <w:rStyle w:val="Style13"/>
          <w:rFonts w:ascii="Times New Roman" w:hAnsi="Times New Roman" w:cs="Times New Roman"/>
          <w:sz w:val="28"/>
          <w:szCs w:val="28"/>
        </w:rPr>
      </w:pPr>
      <w:r>
        <w:rPr>
          <w:rStyle w:val="Style13"/>
          <w:rFonts w:cs="Times New Roman" w:ascii="Times New Roman" w:hAnsi="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pPr>
        <w:pStyle w:val="ListParagraph"/>
        <w:ind w:left="0" w:firstLine="567"/>
        <w:rPr>
          <w:rStyle w:val="Style13"/>
          <w:rFonts w:ascii="Times New Roman" w:hAnsi="Times New Roman"/>
        </w:rPr>
      </w:pPr>
      <w:r>
        <w:rPr>
          <w:rStyle w:val="Style13"/>
          <w:rFonts w:cs="Times New Roman" w:ascii="Times New Roman" w:hAnsi="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pPr>
        <w:pStyle w:val="ListParagraph"/>
        <w:ind w:left="0" w:firstLine="567"/>
        <w:rPr>
          <w:rFonts w:ascii="Times New Roman" w:hAnsi="Times New Roman"/>
          <w:sz w:val="28"/>
          <w:szCs w:val="28"/>
        </w:rPr>
      </w:pPr>
      <w:r>
        <w:rPr>
          <w:rStyle w:val="Style13"/>
          <w:rFonts w:cs="Times New Roman" w:ascii="Times New Roman" w:hAnsi="Times New Roman"/>
          <w:sz w:val="28"/>
          <w:szCs w:val="28"/>
        </w:rPr>
        <w:t>Для счета цифрового рубля информацию целесообразно получать непосредственно у Банка России, который открывает такой счет.</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"Наименование и адрес банка или иной кредитной организации"</w:t>
      </w:r>
      <w:r>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pPr>
        <w:pStyle w:val="ListParagraph"/>
        <w:ind w:left="0" w:firstLine="567"/>
        <w:rPr>
          <w:rFonts w:ascii="Times New Roman" w:hAnsi="Times New Roman"/>
          <w:sz w:val="28"/>
          <w:szCs w:val="28"/>
        </w:rPr>
      </w:pPr>
      <w:r>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указывается "Банк России, </w:t>
      </w:r>
      <w:r>
        <w:rPr>
          <w:rStyle w:val="Style13"/>
          <w:rFonts w:cs="Times New Roman" w:ascii="Times New Roman" w:hAnsi="Times New Roman"/>
          <w:sz w:val="28"/>
          <w:szCs w:val="28"/>
        </w:rPr>
        <w:t>107016, Москва, ул. Неглинная, д. 12, к. В.</w:t>
      </w:r>
      <w:r>
        <w:rPr>
          <w:rFonts w:ascii="Times New Roman" w:hAnsi="Times New Roman"/>
          <w:sz w:val="28"/>
          <w:szCs w:val="28"/>
        </w:rPr>
        <w:t>".</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"Вид и валюта счета"</w:t>
      </w:r>
      <w:r>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вкладам (депозитам)".</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соответствии с указанной Инструкцией и с учетом </w:t>
      </w:r>
      <w:r>
        <w:rPr>
          <w:rFonts w:ascii="Times New Roman" w:hAnsi="Times New Roman"/>
          <w:sz w:val="28"/>
        </w:rPr>
        <w:t xml:space="preserve">пунктов </w:t>
      </w:r>
      <w:r>
        <w:rPr>
          <w:rFonts w:ascii="Times New Roman" w:hAnsi="Times New Roman"/>
          <w:sz w:val="28"/>
          <w:szCs w:val="28"/>
        </w:rPr>
        <w:t>153</w:t>
      </w:r>
      <w:r>
        <w:rPr>
          <w:rFonts w:ascii="Times New Roman" w:hAnsi="Times New Roman"/>
          <w:sz w:val="28"/>
        </w:rPr>
        <w:t xml:space="preserve"> и </w:t>
      </w:r>
      <w:r>
        <w:rPr>
          <w:rFonts w:ascii="Times New Roman" w:hAnsi="Times New Roman"/>
          <w:sz w:val="28"/>
          <w:szCs w:val="28"/>
        </w:rPr>
        <w:t>154</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pPr>
        <w:pStyle w:val="ListParagraph"/>
        <w:ind w:left="0" w:firstLine="567"/>
        <w:rPr>
          <w:rFonts w:ascii="Times New Roman" w:hAnsi="Times New Roman"/>
          <w:sz w:val="28"/>
          <w:szCs w:val="28"/>
        </w:rPr>
      </w:pPr>
      <w:r>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pPr>
        <w:pStyle w:val="ListParagraph"/>
        <w:ind w:left="0" w:firstLine="567"/>
        <w:rPr>
          <w:rFonts w:ascii="Times New Roman" w:hAnsi="Times New Roman"/>
          <w:sz w:val="28"/>
          <w:szCs w:val="28"/>
        </w:rPr>
      </w:pPr>
      <w:r>
        <w:rPr>
          <w:rFonts w:eastAsia="Times New Roman" w:ascii="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Pr>
          <w:rFonts w:ascii="Times New Roman" w:hAnsi="Times New Roman"/>
          <w:sz w:val="28"/>
          <w:szCs w:val="28"/>
        </w:rPr>
        <w:t xml:space="preserve">Счет такой карты, как правило, текущий; </w:t>
      </w:r>
    </w:p>
    <w:p>
      <w:pPr>
        <w:pStyle w:val="ListParagraph"/>
        <w:ind w:left="0" w:firstLine="567"/>
        <w:rPr>
          <w:rFonts w:ascii="Times New Roman" w:hAnsi="Times New Roman"/>
          <w:sz w:val="28"/>
          <w:szCs w:val="28"/>
        </w:rPr>
      </w:pPr>
      <w:r>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pPr>
        <w:pStyle w:val="ListParagraph"/>
        <w:ind w:left="0" w:firstLine="567"/>
        <w:rPr>
          <w:rFonts w:ascii="Times New Roman" w:hAnsi="Times New Roman"/>
          <w:sz w:val="28"/>
          <w:szCs w:val="28"/>
        </w:rPr>
      </w:pPr>
      <w:r>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pPr>
        <w:pStyle w:val="ListParagraph"/>
        <w:numPr>
          <w:ilvl w:val="0"/>
          <w:numId w:val="1"/>
        </w:numPr>
        <w:ind w:left="0" w:firstLine="567"/>
        <w:rPr>
          <w:rStyle w:val="Style13"/>
          <w:rFonts w:ascii="Times New Roman" w:hAnsi="Times New Roman" w:cs="Times New Roman"/>
          <w:sz w:val="28"/>
          <w:szCs w:val="28"/>
        </w:rPr>
      </w:pPr>
      <w:r>
        <w:rPr>
          <w:rFonts w:ascii="Times New Roman" w:hAnsi="Times New Roman"/>
          <w:sz w:val="28"/>
          <w:szCs w:val="28"/>
        </w:rPr>
        <w:t xml:space="preserve">В графе </w:t>
      </w:r>
      <w:r>
        <w:rPr>
          <w:rFonts w:ascii="Times New Roman" w:hAnsi="Times New Roman"/>
          <w:b/>
          <w:sz w:val="28"/>
        </w:rPr>
        <w:t>"Дата открытия счета"</w:t>
      </w:r>
      <w:r>
        <w:rPr>
          <w:rFonts w:ascii="Times New Roman" w:hAnsi="Times New Roman"/>
          <w:sz w:val="28"/>
          <w:szCs w:val="28"/>
        </w:rPr>
        <w:t xml:space="preserve"> </w:t>
      </w:r>
      <w:r>
        <w:rPr>
          <w:rStyle w:val="Style13"/>
          <w:rFonts w:cs="Times New Roman" w:ascii="Times New Roman" w:hAnsi="Times New Roman"/>
          <w:color w:val="000000"/>
          <w:sz w:val="28"/>
          <w:szCs w:val="28"/>
        </w:rPr>
        <w:t xml:space="preserve">не допускается указание даты выпуска (перевыпуска) платежной карты.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Графа </w:t>
      </w:r>
      <w:r>
        <w:rPr>
          <w:rFonts w:ascii="Times New Roman" w:hAnsi="Times New Roman"/>
          <w:b/>
          <w:sz w:val="28"/>
        </w:rPr>
        <w:t>"Остаток на счете</w:t>
      </w:r>
      <w:r>
        <w:rPr>
          <w:rFonts w:ascii="Times New Roman" w:hAnsi="Times New Roman"/>
          <w:b/>
          <w:sz w:val="28"/>
          <w:szCs w:val="28"/>
        </w:rPr>
        <w:t xml:space="preserve"> (руб.)"</w:t>
      </w:r>
      <w:r>
        <w:rPr>
          <w:rFonts w:ascii="Times New Roman" w:hAnsi="Times New Roman"/>
          <w:sz w:val="28"/>
          <w:szCs w:val="28"/>
        </w:rPr>
        <w:t xml:space="preserve"> заполняется по состоянию на отчетную дату. </w:t>
      </w:r>
    </w:p>
    <w:p>
      <w:pPr>
        <w:pStyle w:val="ListParagraph"/>
        <w:ind w:left="0" w:firstLine="567"/>
        <w:rPr>
          <w:rFonts w:ascii="Times New Roman" w:hAnsi="Times New Roman"/>
          <w:sz w:val="28"/>
          <w:szCs w:val="28"/>
        </w:rPr>
      </w:pPr>
      <w:r>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pPr>
        <w:pStyle w:val="ListParagraph"/>
        <w:ind w:left="0" w:firstLine="567"/>
        <w:rPr>
          <w:rFonts w:ascii="Times New Roman" w:hAnsi="Times New Roman"/>
          <w:sz w:val="28"/>
          <w:szCs w:val="28"/>
        </w:rPr>
      </w:pPr>
      <w:r>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w:t>
      </w:r>
      <w:r>
        <w:rPr>
          <w:rFonts w:ascii="Times New Roman" w:hAnsi="Times New Roman"/>
          <w:b/>
          <w:sz w:val="28"/>
          <w:szCs w:val="28"/>
        </w:rPr>
        <w:t>"Остаток на счете (руб.)"</w:t>
      </w:r>
      <w:r>
        <w:rPr>
          <w:rFonts w:ascii="Times New Roman" w:hAnsi="Times New Roman"/>
          <w:sz w:val="28"/>
          <w:szCs w:val="28"/>
        </w:rPr>
        <w:t xml:space="preserve"> раздела 4 справки в полном объеме.</w:t>
      </w:r>
    </w:p>
    <w:p>
      <w:pPr>
        <w:pStyle w:val="ListParagraph"/>
        <w:ind w:left="0" w:firstLine="567"/>
        <w:rPr>
          <w:rFonts w:ascii="Times New Roman" w:hAnsi="Times New Roman"/>
          <w:sz w:val="28"/>
          <w:szCs w:val="28"/>
        </w:rPr>
      </w:pPr>
      <w:r>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w:t>
      </w:r>
      <w:r>
        <w:rPr>
          <w:rFonts w:eastAsia="Times New Roman" w:ascii="Times New Roman" w:hAnsi="Times New Roman"/>
          <w:sz w:val="28"/>
          <w:szCs w:val="28"/>
          <w:lang w:eastAsia="ru-RU"/>
        </w:rPr>
        <w:t xml:space="preserve">(с учетом положений </w:t>
      </w:r>
      <w:r>
        <w:rPr>
          <w:rFonts w:ascii="Times New Roman" w:hAnsi="Times New Roman"/>
          <w:sz w:val="28"/>
        </w:rPr>
        <w:t xml:space="preserve">пункта </w:t>
      </w:r>
      <w:r>
        <w:rPr>
          <w:rFonts w:eastAsia="Times New Roman" w:ascii="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eastAsia="Times New Roman" w:ascii="Times New Roman" w:hAnsi="Times New Roman"/>
          <w:sz w:val="28"/>
          <w:szCs w:val="28"/>
          <w:lang w:eastAsia="ru-RU"/>
        </w:rPr>
        <w:t>)</w:t>
      </w:r>
      <w:r>
        <w:rPr>
          <w:rFonts w:ascii="Times New Roman" w:hAnsi="Times New Roman"/>
          <w:sz w:val="28"/>
          <w:szCs w:val="28"/>
        </w:rPr>
        <w:t xml:space="preserve">. </w:t>
      </w:r>
    </w:p>
    <w:p>
      <w:pPr>
        <w:pStyle w:val="ListParagraph"/>
        <w:ind w:left="0" w:firstLine="567"/>
        <w:rPr>
          <w:rFonts w:ascii="Times New Roman" w:hAnsi="Times New Roman"/>
          <w:sz w:val="28"/>
          <w:szCs w:val="28"/>
        </w:rPr>
      </w:pPr>
      <w:r>
        <w:rPr>
          <w:rFonts w:ascii="Times New Roman" w:hAnsi="Times New Roman"/>
          <w:sz w:val="28"/>
          <w:szCs w:val="28"/>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10 июля 2024 г. № 6799-У "О перечне и видах драгоценных металлов, в отношении которых устанавливаются учетные цены, и порядке установления учетных цен на драгоценные металлы".</w:t>
      </w:r>
    </w:p>
    <w:p>
      <w:pPr>
        <w:pStyle w:val="ListParagraph"/>
        <w:numPr>
          <w:ilvl w:val="0"/>
          <w:numId w:val="1"/>
        </w:numPr>
        <w:ind w:left="0" w:firstLine="567"/>
        <w:rPr>
          <w:rFonts w:ascii="Times New Roman" w:hAnsi="Times New Roman"/>
          <w:sz w:val="28"/>
        </w:rPr>
      </w:pPr>
      <w:r>
        <w:rPr>
          <w:rFonts w:ascii="Times New Roman" w:hAnsi="Times New Roman"/>
          <w:sz w:val="28"/>
        </w:rPr>
        <w:t xml:space="preserve">Графа </w:t>
      </w:r>
      <w:r>
        <w:rPr>
          <w:rFonts w:ascii="Times New Roman" w:hAnsi="Times New Roman"/>
          <w:b/>
          <w:sz w:val="28"/>
        </w:rPr>
        <w:t>"Сумма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заполняется </w:t>
      </w:r>
      <w:r>
        <w:rPr>
          <w:rFonts w:ascii="Times New Roman" w:hAnsi="Times New Roman"/>
          <w:b/>
          <w:sz w:val="28"/>
        </w:rPr>
        <w:t>только</w:t>
      </w:r>
      <w:r>
        <w:rPr>
          <w:rFonts w:ascii="Times New Roman" w:hAnsi="Times New Roman"/>
          <w:sz w:val="28"/>
        </w:rPr>
        <w:t xml:space="preserve"> в случае, если общая сумма денежных </w:t>
      </w:r>
      <w:r>
        <w:rPr>
          <w:rFonts w:ascii="Times New Roman" w:hAnsi="Times New Roman"/>
          <w:sz w:val="28"/>
          <w:szCs w:val="28"/>
        </w:rPr>
        <w:t>средств, поступивших</w:t>
      </w:r>
      <w:r>
        <w:rPr>
          <w:rFonts w:ascii="Times New Roman" w:hAnsi="Times New Roman"/>
          <w:sz w:val="28"/>
        </w:rPr>
        <w:t xml:space="preserve"> на </w:t>
      </w:r>
      <w:r>
        <w:rPr>
          <w:rFonts w:ascii="Times New Roman" w:hAnsi="Times New Roman"/>
          <w:sz w:val="28"/>
          <w:szCs w:val="28"/>
        </w:rPr>
        <w:t>счета</w:t>
      </w:r>
      <w:r>
        <w:rPr>
          <w:rFonts w:ascii="Times New Roman" w:hAnsi="Times New Roman"/>
          <w:sz w:val="28"/>
        </w:rPr>
        <w:t xml:space="preserve"> за отчетный период</w:t>
      </w:r>
      <w:r>
        <w:rPr>
          <w:rFonts w:ascii="Times New Roman" w:hAnsi="Times New Roman"/>
          <w:sz w:val="28"/>
          <w:szCs w:val="28"/>
        </w:rPr>
        <w:t>,</w:t>
      </w:r>
      <w:r>
        <w:rPr>
          <w:rFonts w:ascii="Times New Roman" w:hAnsi="Times New Roman"/>
          <w:sz w:val="28"/>
        </w:rPr>
        <w:t xml:space="preserve"> превышает общий доход служащего (работника</w:t>
      </w:r>
      <w:r>
        <w:rPr>
          <w:rFonts w:ascii="Times New Roman" w:hAnsi="Times New Roman"/>
          <w:sz w:val="28"/>
          <w:szCs w:val="28"/>
        </w:rPr>
        <w:t>),</w:t>
      </w:r>
      <w:r>
        <w:rPr>
          <w:rFonts w:ascii="Times New Roman" w:hAnsi="Times New Roman"/>
          <w:sz w:val="28"/>
        </w:rPr>
        <w:t xml:space="preserve"> его супруги (супруга) </w:t>
      </w:r>
      <w:r>
        <w:rPr>
          <w:rFonts w:ascii="Times New Roman" w:hAnsi="Times New Roman"/>
          <w:sz w:val="28"/>
          <w:szCs w:val="28"/>
        </w:rPr>
        <w:t xml:space="preserve">и несовершеннолетних детей </w:t>
      </w:r>
      <w:r>
        <w:rPr>
          <w:rFonts w:ascii="Times New Roman" w:hAnsi="Times New Roman"/>
          <w:sz w:val="28"/>
        </w:rPr>
        <w:t xml:space="preserve">за отчетный период и два предшествующих ему года. Например, при представлении Сведений в </w:t>
      </w:r>
      <w:r>
        <w:rPr>
          <w:rFonts w:ascii="Times New Roman" w:hAnsi="Times New Roman"/>
          <w:sz w:val="28"/>
          <w:szCs w:val="28"/>
        </w:rPr>
        <w:t>2025</w:t>
      </w:r>
      <w:r>
        <w:rPr>
          <w:rFonts w:ascii="Times New Roman" w:hAnsi="Times New Roman"/>
          <w:sz w:val="28"/>
        </w:rPr>
        <w:t xml:space="preserve"> году графа </w:t>
      </w:r>
      <w:r>
        <w:rPr>
          <w:rFonts w:ascii="Times New Roman" w:hAnsi="Times New Roman"/>
          <w:b/>
          <w:sz w:val="28"/>
        </w:rPr>
        <w:t>"Сумма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заполняется в отношении всех счетов, указанных в справке конкретного лица (т.е. открытых по состоянию на отчетную дату), в случае, если сумма денежных средств, поступивших на </w:t>
      </w:r>
      <w:r>
        <w:rPr>
          <w:rFonts w:ascii="Times New Roman" w:hAnsi="Times New Roman"/>
          <w:sz w:val="28"/>
          <w:szCs w:val="28"/>
        </w:rPr>
        <w:t>такие счета в 2024</w:t>
      </w:r>
      <w:r>
        <w:rPr>
          <w:rFonts w:ascii="Times New Roman" w:hAnsi="Times New Roman"/>
          <w:sz w:val="28"/>
        </w:rPr>
        <w:t> году, превышает общий доход служащего (работника</w:t>
      </w:r>
      <w:r>
        <w:rPr>
          <w:rFonts w:ascii="Times New Roman" w:hAnsi="Times New Roman"/>
          <w:sz w:val="28"/>
          <w:szCs w:val="28"/>
        </w:rPr>
        <w:t>),</w:t>
      </w:r>
      <w:r>
        <w:rPr>
          <w:rFonts w:ascii="Times New Roman" w:hAnsi="Times New Roman"/>
          <w:sz w:val="28"/>
        </w:rPr>
        <w:t xml:space="preserve"> его супруги (супруга) </w:t>
      </w:r>
      <w:r>
        <w:rPr>
          <w:rFonts w:ascii="Times New Roman" w:hAnsi="Times New Roman"/>
          <w:sz w:val="28"/>
          <w:szCs w:val="28"/>
        </w:rPr>
        <w:t xml:space="preserve">и несовершеннолетних детей </w:t>
      </w:r>
      <w:r>
        <w:rPr>
          <w:rFonts w:ascii="Times New Roman" w:hAnsi="Times New Roman"/>
          <w:sz w:val="28"/>
        </w:rPr>
        <w:t>за 2022</w:t>
      </w:r>
      <w:r>
        <w:rPr>
          <w:rFonts w:ascii="Times New Roman" w:hAnsi="Times New Roman"/>
          <w:sz w:val="28"/>
          <w:szCs w:val="28"/>
        </w:rPr>
        <w:t>,</w:t>
      </w:r>
      <w:r>
        <w:rPr>
          <w:rFonts w:ascii="Times New Roman" w:hAnsi="Times New Roman"/>
          <w:sz w:val="28"/>
        </w:rPr>
        <w:t xml:space="preserve"> 2023</w:t>
      </w:r>
      <w:r>
        <w:rPr>
          <w:rFonts w:ascii="Times New Roman" w:hAnsi="Times New Roman"/>
          <w:sz w:val="28"/>
          <w:szCs w:val="28"/>
        </w:rPr>
        <w:t xml:space="preserve"> и 2024</w:t>
      </w:r>
      <w:r>
        <w:rPr>
          <w:rFonts w:ascii="Times New Roman" w:hAnsi="Times New Roman"/>
          <w:sz w:val="28"/>
        </w:rPr>
        <w:t xml:space="preserve"> годы (в таком случае в отношении каждого счета указывается сумма поступивших на него в 2024 году денежных средств). </w:t>
      </w:r>
    </w:p>
    <w:p>
      <w:pPr>
        <w:pStyle w:val="Normal"/>
        <w:ind w:firstLine="567"/>
        <w:rPr>
          <w:rFonts w:ascii="Times New Roman" w:hAnsi="Times New Roman"/>
          <w:sz w:val="28"/>
        </w:rPr>
      </w:pPr>
      <w:r>
        <w:rPr>
          <w:rFonts w:ascii="Times New Roman" w:hAnsi="Times New Roman"/>
          <w:sz w:val="28"/>
        </w:rPr>
        <w:t>По счету в драгоценных металлах данная графа не заполняется.</w:t>
      </w:r>
    </w:p>
    <w:p>
      <w:pPr>
        <w:pStyle w:val="Normal"/>
        <w:ind w:firstLine="567"/>
        <w:rPr>
          <w:rFonts w:ascii="Times New Roman" w:hAnsi="Times New Roman"/>
          <w:sz w:val="28"/>
        </w:rPr>
      </w:pPr>
      <w:r>
        <w:rPr>
          <w:rFonts w:ascii="Times New Roman" w:hAnsi="Times New Roman"/>
          <w:sz w:val="28"/>
        </w:rPr>
        <w:t xml:space="preserve">В случае если общая сумма денежных </w:t>
      </w:r>
      <w:r>
        <w:rPr>
          <w:rFonts w:ascii="Times New Roman" w:hAnsi="Times New Roman"/>
          <w:sz w:val="28"/>
          <w:szCs w:val="28"/>
        </w:rPr>
        <w:t>средств, поступивших</w:t>
      </w:r>
      <w:r>
        <w:rPr>
          <w:rFonts w:ascii="Times New Roman" w:hAnsi="Times New Roman"/>
          <w:sz w:val="28"/>
        </w:rPr>
        <w:t xml:space="preserve"> на </w:t>
      </w:r>
      <w:r>
        <w:rPr>
          <w:rFonts w:ascii="Times New Roman" w:hAnsi="Times New Roman"/>
          <w:sz w:val="28"/>
          <w:szCs w:val="28"/>
        </w:rPr>
        <w:t>счета за отчетный период,</w:t>
      </w:r>
      <w:r>
        <w:rPr>
          <w:rFonts w:ascii="Times New Roman" w:hAnsi="Times New Roman"/>
          <w:sz w:val="28"/>
        </w:rPr>
        <w:t xml:space="preserve"> не превышает общий доход служащего (работника</w:t>
      </w:r>
      <w:r>
        <w:rPr>
          <w:rFonts w:ascii="Times New Roman" w:hAnsi="Times New Roman"/>
          <w:sz w:val="28"/>
          <w:szCs w:val="28"/>
        </w:rPr>
        <w:t>),</w:t>
      </w:r>
      <w:r>
        <w:rPr>
          <w:rFonts w:ascii="Times New Roman" w:hAnsi="Times New Roman"/>
          <w:sz w:val="28"/>
        </w:rPr>
        <w:t xml:space="preserve"> его супруга (супруги)</w:t>
      </w:r>
      <w:r>
        <w:rPr>
          <w:rFonts w:ascii="Times New Roman" w:hAnsi="Times New Roman"/>
          <w:sz w:val="28"/>
          <w:szCs w:val="28"/>
        </w:rPr>
        <w:t xml:space="preserve"> и несовершеннолетних детей</w:t>
      </w:r>
      <w:r>
        <w:rPr>
          <w:rFonts w:ascii="Times New Roman" w:hAnsi="Times New Roman"/>
          <w:sz w:val="28"/>
        </w:rPr>
        <w:t xml:space="preserve"> за отчетный период и два предшествующих года, то в СПО "Справки БК" необходимо подтвердить данное обстоятельство путем проставления "флажка" [</w:t>
      </w:r>
      <w:r>
        <w:rPr>
          <w:rFonts w:ascii="Segoe UI Symbol" w:hAnsi="Segoe UI Symbol"/>
          <w:sz w:val="28"/>
        </w:rPr>
        <w:t>✓</w:t>
      </w:r>
      <w:r>
        <w:rPr>
          <w:rFonts w:ascii="Times New Roman" w:hAnsi="Times New Roman"/>
          <w:sz w:val="28"/>
        </w:rPr>
        <w:t xml:space="preserve">] напротив соответствующей позиции. В противном случае необходимо заполнить соответствующие графы в отношении всех счетов, указываемых в справке в отношении отдельного лица. </w:t>
      </w:r>
    </w:p>
    <w:p>
      <w:pPr>
        <w:pStyle w:val="ListParagraph"/>
        <w:numPr>
          <w:ilvl w:val="0"/>
          <w:numId w:val="1"/>
        </w:numPr>
        <w:ind w:left="0" w:firstLine="567"/>
        <w:rPr>
          <w:rFonts w:ascii="Times New Roman" w:hAnsi="Times New Roman"/>
          <w:sz w:val="28"/>
          <w:szCs w:val="28"/>
        </w:rPr>
      </w:pPr>
      <w:r>
        <w:rPr>
          <w:rFonts w:ascii="Times New Roman" w:hAnsi="Times New Roman"/>
          <w:sz w:val="28"/>
        </w:rPr>
        <w:t>При расчете общего дохода служащего (работника</w:t>
      </w:r>
      <w:r>
        <w:rPr>
          <w:rFonts w:ascii="Times New Roman" w:hAnsi="Times New Roman"/>
          <w:sz w:val="28"/>
          <w:szCs w:val="28"/>
        </w:rPr>
        <w:t>),</w:t>
      </w:r>
      <w:r>
        <w:rPr>
          <w:rFonts w:ascii="Times New Roman" w:hAnsi="Times New Roman"/>
          <w:sz w:val="28"/>
        </w:rPr>
        <w:t xml:space="preserve"> его супруги (супруга)</w:t>
      </w:r>
      <w:r>
        <w:rPr>
          <w:rFonts w:ascii="Times New Roman" w:hAnsi="Times New Roman"/>
          <w:sz w:val="28"/>
          <w:szCs w:val="28"/>
        </w:rPr>
        <w:t xml:space="preserve"> и несовершеннолетних детей</w:t>
      </w:r>
      <w:r>
        <w:rPr>
          <w:rFonts w:ascii="Times New Roman" w:hAnsi="Times New Roman"/>
          <w:sz w:val="28"/>
        </w:rPr>
        <w:t xml:space="preserve">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и более лет, предшествующих отчетному периоду (аналогично в отношении супруги (супруга). </w:t>
      </w:r>
      <w:r>
        <w:rPr>
          <w:rFonts w:ascii="Times New Roman" w:hAnsi="Times New Roman"/>
          <w:sz w:val="28"/>
          <w:szCs w:val="28"/>
        </w:rPr>
        <w:t xml:space="preserve">Во всех остальных случаях учитывается только доход служащего (работника) </w:t>
      </w:r>
      <w:r>
        <w:rPr>
          <w:rFonts w:ascii="Times New Roman" w:hAnsi="Times New Roman"/>
          <w:sz w:val="28"/>
        </w:rPr>
        <w:t>за отчетный период и два предшествующих ему года</w:t>
      </w:r>
      <w:r>
        <w:rPr>
          <w:rFonts w:ascii="Times New Roman" w:hAnsi="Times New Roman"/>
          <w:sz w:val="28"/>
          <w:szCs w:val="28"/>
        </w:rPr>
        <w:t xml:space="preserve"> (аналогично в отношении супруги (супруга).</w:t>
      </w:r>
      <w:r>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p>
    <w:p>
      <w:pPr>
        <w:pStyle w:val="Normal"/>
        <w:ind w:firstLine="567"/>
        <w:rPr>
          <w:rFonts w:ascii="Times New Roman" w:hAnsi="Times New Roman"/>
          <w:sz w:val="28"/>
        </w:rPr>
      </w:pPr>
      <w:r>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pPr>
        <w:pStyle w:val="ListParagraph"/>
        <w:ind w:left="0" w:firstLine="567"/>
        <w:rPr>
          <w:rFonts w:ascii="Times New Roman" w:hAnsi="Times New Roman"/>
          <w:sz w:val="28"/>
        </w:rPr>
      </w:pPr>
      <w:r>
        <w:rPr>
          <w:rFonts w:ascii="Times New Roman" w:hAnsi="Times New Roman"/>
          <w:sz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Pr>
          <w:rFonts w:ascii="Times New Roman" w:hAnsi="Times New Roman"/>
          <w:b/>
          <w:sz w:val="28"/>
        </w:rPr>
        <w:t>"Сумма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часто подлежит заполнению в связи с незначительными доходами в предыдущие годы.</w:t>
      </w:r>
    </w:p>
    <w:p>
      <w:pPr>
        <w:pStyle w:val="ListParagraph"/>
        <w:ind w:left="0" w:firstLine="567"/>
        <w:rPr>
          <w:rFonts w:ascii="Times New Roman" w:hAnsi="Times New Roman"/>
          <w:sz w:val="28"/>
          <w:szCs w:val="28"/>
        </w:rPr>
      </w:pPr>
      <w:r>
        <w:rPr>
          <w:rFonts w:ascii="Times New Roman" w:hAnsi="Times New Roman"/>
          <w:sz w:val="28"/>
        </w:rPr>
        <w:t xml:space="preserve">Для счетов в иностранной валюте сумма указывается в рублях по курсу Банка России на отчетную дату (с учетом положений пункта </w:t>
      </w:r>
      <w:r>
        <w:rPr>
          <w:rFonts w:eastAsia="Times New Roman" w:ascii="Times New Roman" w:hAnsi="Times New Roman"/>
          <w:sz w:val="28"/>
          <w:szCs w:val="28"/>
          <w:lang w:eastAsia="ru-RU"/>
        </w:rPr>
        <w:t>54</w:t>
      </w:r>
      <w:r>
        <w:rPr>
          <w:rFonts w:ascii="Times New Roman" w:hAnsi="Times New Roman"/>
          <w:sz w:val="28"/>
        </w:rPr>
        <w:t xml:space="preserve"> настоящих Методических рекомендаций).</w:t>
      </w:r>
    </w:p>
    <w:p>
      <w:pPr>
        <w:pStyle w:val="ListParagraph"/>
        <w:numPr>
          <w:ilvl w:val="0"/>
          <w:numId w:val="1"/>
        </w:numPr>
        <w:ind w:left="0" w:firstLine="567"/>
        <w:rPr>
          <w:rFonts w:ascii="Times New Roman" w:hAnsi="Times New Roman"/>
          <w:b/>
          <w:sz w:val="28"/>
          <w:szCs w:val="28"/>
        </w:rPr>
      </w:pPr>
      <w:r>
        <w:rPr>
          <w:rFonts w:ascii="Times New Roman" w:hAnsi="Times New Roman"/>
          <w:b/>
          <w:sz w:val="28"/>
          <w:szCs w:val="28"/>
        </w:rPr>
        <w:t xml:space="preserve">Отдельные аспекты заполнения </w:t>
      </w:r>
      <w:r>
        <w:rPr>
          <w:rFonts w:ascii="Times New Roman" w:hAnsi="Times New Roman"/>
          <w:b/>
          <w:sz w:val="28"/>
        </w:rPr>
        <w:t>графы "Сумма поступивших на счет денежных средств</w:t>
      </w:r>
      <w:r>
        <w:rPr>
          <w:rFonts w:ascii="Times New Roman" w:hAnsi="Times New Roman"/>
          <w:b/>
          <w:sz w:val="28"/>
          <w:szCs w:val="28"/>
        </w:rPr>
        <w:t xml:space="preserve"> (руб.)":</w:t>
      </w:r>
    </w:p>
    <w:p>
      <w:pPr>
        <w:pStyle w:val="ListParagraph"/>
        <w:ind w:left="0" w:firstLine="567"/>
        <w:rPr>
          <w:rFonts w:ascii="Times New Roman" w:hAnsi="Times New Roman"/>
          <w:sz w:val="28"/>
          <w:szCs w:val="28"/>
        </w:rPr>
      </w:pPr>
      <w:r>
        <w:rPr>
          <w:rFonts w:ascii="Times New Roman" w:hAnsi="Times New Roman"/>
          <w:sz w:val="28"/>
          <w:szCs w:val="28"/>
        </w:rPr>
        <w:t>1) с доходом служащего (работника), его супруги (супруга)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справке в отношении служащего (работника), отдельно в справке в отношении его супруги (супруга), отдельно в справке в отношении его несовершеннолетнего ребенка.</w:t>
      </w:r>
    </w:p>
    <w:p>
      <w:pPr>
        <w:pStyle w:val="ListParagraph"/>
        <w:ind w:left="0" w:firstLine="567"/>
        <w:rPr>
          <w:rFonts w:ascii="Times New Roman" w:hAnsi="Times New Roman"/>
          <w:sz w:val="28"/>
          <w:szCs w:val="28"/>
        </w:rPr>
      </w:pPr>
      <w:r>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pPr>
        <w:pStyle w:val="ListParagraph"/>
        <w:ind w:left="0" w:firstLine="567"/>
        <w:rPr>
          <w:rFonts w:ascii="Times New Roman" w:hAnsi="Times New Roman"/>
          <w:sz w:val="28"/>
          <w:szCs w:val="28"/>
        </w:rPr>
      </w:pPr>
      <w:r>
        <w:rPr>
          <w:rFonts w:ascii="Times New Roman" w:hAnsi="Times New Roman"/>
          <w:sz w:val="28"/>
          <w:szCs w:val="28"/>
        </w:rPr>
        <w:t>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
    <w:p>
      <w:pPr>
        <w:pStyle w:val="ListParagraph"/>
        <w:ind w:left="0" w:firstLine="567"/>
        <w:rPr>
          <w:rFonts w:ascii="Times New Roman" w:hAnsi="Times New Roman"/>
          <w:sz w:val="28"/>
          <w:szCs w:val="28"/>
        </w:rPr>
      </w:pPr>
      <w:r>
        <w:rPr>
          <w:rFonts w:ascii="Times New Roman" w:hAnsi="Times New Roman"/>
          <w:sz w:val="28"/>
          <w:szCs w:val="28"/>
        </w:rPr>
        <w:t>4) денежные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pPr>
        <w:pStyle w:val="ListParagraph"/>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pPr>
        <w:pStyle w:val="ListParagraph"/>
        <w:ind w:left="0" w:firstLine="567"/>
        <w:rPr>
          <w:rFonts w:ascii="Times New Roman" w:hAnsi="Times New Roman"/>
          <w:sz w:val="28"/>
          <w:szCs w:val="28"/>
        </w:rPr>
      </w:pPr>
      <w:r>
        <w:rPr>
          <w:rFonts w:ascii="Times New Roman" w:hAnsi="Times New Roman"/>
          <w:sz w:val="28"/>
          <w:szCs w:val="28"/>
        </w:rPr>
      </w:r>
    </w:p>
    <w:p>
      <w:pPr>
        <w:pStyle w:val="ListParagraph"/>
        <w:ind w:left="0" w:firstLine="567"/>
        <w:rPr>
          <w:rFonts w:ascii="Times New Roman" w:hAnsi="Times New Roman"/>
          <w:iCs/>
          <w:sz w:val="28"/>
          <w:szCs w:val="28"/>
        </w:rPr>
      </w:pPr>
      <w:r>
        <w:rPr>
          <w:rFonts w:ascii="Times New Roman" w:hAnsi="Times New Roman"/>
          <w:sz w:val="28"/>
          <w:szCs w:val="28"/>
        </w:rPr>
        <w:t>Перечень возможных на практике ситуаций (таблица № 6):</w:t>
      </w:r>
    </w:p>
    <w:tbl>
      <w:tblPr>
        <w:tblStyle w:val="af4"/>
        <w:tblW w:w="10195"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10195"/>
      </w:tblGrid>
      <w:tr>
        <w:trPr/>
        <w:tc>
          <w:tcPr>
            <w:tcW w:w="10195" w:type="dxa"/>
            <w:tcBorders/>
            <w:shd w:color="auto" w:fill="FFFFFF" w:themeFill="background1" w:val="clear"/>
          </w:tcPr>
          <w:p>
            <w:pPr>
              <w:pStyle w:val="ListParagraph"/>
              <w:widowControl/>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По состоянию на отчетную дату и в течение отчетного периода у служащего (работника) открыто два счета, а у его супруги – три; у несовершеннолетних детей счета отсутствуют.</w:t>
            </w:r>
          </w:p>
          <w:p>
            <w:pPr>
              <w:pStyle w:val="ListParagraph"/>
              <w:widowControl/>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В течение отчетного периода на счета служащего (работника) поступило 300 тыс. руб., а на счета его супруги – 500 тыс. руб.</w:t>
            </w:r>
          </w:p>
          <w:p>
            <w:pPr>
              <w:pStyle w:val="Normal"/>
              <w:widowControl/>
              <w:tabs>
                <w:tab w:val="clear" w:pos="709"/>
                <w:tab w:val="left" w:pos="454" w:leader="none"/>
                <w:tab w:val="left" w:pos="9390" w:leader="none"/>
              </w:tabs>
              <w:spacing w:before="0" w:after="0"/>
              <w:ind w:left="0" w:right="0" w:hanging="0"/>
              <w:rPr>
                <w:rFonts w:ascii="Times New Roman" w:hAnsi="Times New Roman"/>
                <w:iCs/>
                <w:sz w:val="28"/>
                <w:szCs w:val="28"/>
              </w:rPr>
            </w:pPr>
            <w:r>
              <w:rPr>
                <w:rFonts w:eastAsia="Calibri" w:cs="Times New Roman" w:ascii="Times New Roman" w:hAnsi="Times New Roman"/>
                <w:iCs/>
                <w:kern w:val="0"/>
                <w:sz w:val="28"/>
                <w:szCs w:val="28"/>
                <w:lang w:val="ru-RU" w:bidi="ar-SA"/>
              </w:rPr>
              <w:t>Доход служащего (работника), его супруги и несовершеннолетних детей за отчетный период и два предшествующих года (далее в таблице № 5 – совокупный доход) составляет 6000 тыс. руб.</w:t>
            </w:r>
          </w:p>
          <w:p>
            <w:pPr>
              <w:pStyle w:val="Normal"/>
              <w:widowControl/>
              <w:tabs>
                <w:tab w:val="clear" w:pos="709"/>
                <w:tab w:val="left" w:pos="454" w:leader="none"/>
                <w:tab w:val="left" w:pos="9390" w:leader="none"/>
              </w:tabs>
              <w:spacing w:before="0" w:after="0"/>
              <w:ind w:left="0" w:right="0" w:hanging="0"/>
              <w:rPr>
                <w:rFonts w:ascii="Times New Roman" w:hAnsi="Times New Roman"/>
                <w:iCs/>
                <w:sz w:val="28"/>
                <w:szCs w:val="28"/>
              </w:rPr>
            </w:pPr>
            <w:r>
              <w:rPr>
                <w:rFonts w:eastAsia="Calibri" w:cs="Times New Roman" w:ascii="Times New Roman" w:hAnsi="Times New Roman"/>
                <w:iCs/>
                <w:kern w:val="0"/>
                <w:sz w:val="28"/>
                <w:szCs w:val="28"/>
                <w:lang w:val="ru-RU" w:bidi="ar-SA"/>
              </w:rPr>
              <w:t>В данном примере:</w:t>
            </w:r>
          </w:p>
          <w:p>
            <w:pPr>
              <w:pStyle w:val="ListParagraph"/>
              <w:widowControl/>
              <w:numPr>
                <w:ilvl w:val="0"/>
                <w:numId w:val="10"/>
              </w:numPr>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 xml:space="preserve">графа </w:t>
            </w:r>
            <w:r>
              <w:rPr>
                <w:rFonts w:eastAsia="Calibri" w:cs="Times New Roman" w:ascii="Times New Roman" w:hAnsi="Times New Roman"/>
                <w:b/>
                <w:kern w:val="0"/>
                <w:sz w:val="28"/>
                <w:lang w:val="ru-RU" w:bidi="ar-SA"/>
              </w:rPr>
              <w:t>"Сумма поступивших на счет денежных средств (руб.)"</w:t>
            </w:r>
            <w:r>
              <w:rPr>
                <w:rFonts w:eastAsia="Calibri" w:cs="Times New Roman" w:ascii="Times New Roman" w:hAnsi="Times New Roman"/>
                <w:iCs/>
                <w:kern w:val="0"/>
                <w:sz w:val="28"/>
                <w:szCs w:val="28"/>
                <w:lang w:val="ru-RU" w:bidi="ar-SA"/>
              </w:rPr>
              <w:t xml:space="preserve"> раздела 4 справки в отношении служащего (работника) не заполняется;</w:t>
            </w:r>
          </w:p>
          <w:p>
            <w:pPr>
              <w:pStyle w:val="ListParagraph"/>
              <w:widowControl/>
              <w:numPr>
                <w:ilvl w:val="0"/>
                <w:numId w:val="10"/>
              </w:numPr>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 xml:space="preserve">графа </w:t>
            </w:r>
            <w:r>
              <w:rPr>
                <w:rFonts w:eastAsia="Calibri" w:cs="Times New Roman" w:ascii="Times New Roman" w:hAnsi="Times New Roman"/>
                <w:b/>
                <w:kern w:val="0"/>
                <w:sz w:val="28"/>
                <w:lang w:val="ru-RU" w:bidi="ar-SA"/>
              </w:rPr>
              <w:t>"Сумма поступивших на счет денежных средств (руб.)"</w:t>
            </w:r>
            <w:r>
              <w:rPr>
                <w:rFonts w:eastAsia="Calibri" w:cs="Times New Roman" w:ascii="Times New Roman" w:hAnsi="Times New Roman"/>
                <w:iCs/>
                <w:kern w:val="0"/>
                <w:sz w:val="28"/>
                <w:szCs w:val="28"/>
                <w:lang w:val="ru-RU" w:bidi="ar-SA"/>
              </w:rPr>
              <w:t xml:space="preserve"> раздела 4 справки в отношении его супруги также не заполняется. </w:t>
            </w:r>
          </w:p>
        </w:tc>
      </w:tr>
      <w:tr>
        <w:trPr/>
        <w:tc>
          <w:tcPr>
            <w:tcW w:w="10195" w:type="dxa"/>
            <w:tcBorders/>
            <w:shd w:color="auto" w:fill="FFFFFF" w:themeFill="background1" w:val="clear"/>
          </w:tcPr>
          <w:p>
            <w:pPr>
              <w:pStyle w:val="ListParagraph"/>
              <w:widowControl/>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По состоянию на отчетную дату и в течение отчетного периода у служащего (работника) открыто три счета.</w:t>
            </w:r>
          </w:p>
          <w:p>
            <w:pPr>
              <w:pStyle w:val="ListParagraph"/>
              <w:widowControl/>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 xml:space="preserve">В течение отчетного периода на счет "А" поступило 500 тыс. руб. Впоследствии </w:t>
              <w:br/>
              <w:t xml:space="preserve">со счета "А" на счета "Б" и "В" переведены денежные средства: 300 тыс. руб. </w:t>
              <w:br/>
              <w:t>и 100 тыс. руб. соответственно.</w:t>
            </w:r>
          </w:p>
          <w:p>
            <w:pPr>
              <w:pStyle w:val="Normal"/>
              <w:widowControl/>
              <w:tabs>
                <w:tab w:val="clear" w:pos="709"/>
                <w:tab w:val="left" w:pos="454" w:leader="none"/>
                <w:tab w:val="left" w:pos="9390" w:leader="none"/>
              </w:tabs>
              <w:spacing w:before="0" w:after="0"/>
              <w:ind w:left="0" w:right="0" w:hanging="0"/>
              <w:rPr>
                <w:rFonts w:ascii="Times New Roman" w:hAnsi="Times New Roman"/>
                <w:iCs/>
                <w:sz w:val="28"/>
                <w:szCs w:val="28"/>
              </w:rPr>
            </w:pPr>
            <w:r>
              <w:rPr>
                <w:rFonts w:eastAsia="Calibri" w:cs="Times New Roman" w:ascii="Times New Roman" w:hAnsi="Times New Roman"/>
                <w:iCs/>
                <w:kern w:val="0"/>
                <w:sz w:val="28"/>
                <w:szCs w:val="28"/>
                <w:lang w:val="ru-RU" w:bidi="ar-SA"/>
              </w:rPr>
              <w:t>В данном примере:</w:t>
            </w:r>
          </w:p>
          <w:p>
            <w:pPr>
              <w:pStyle w:val="ListParagraph"/>
              <w:widowControl/>
              <w:numPr>
                <w:ilvl w:val="0"/>
                <w:numId w:val="8"/>
              </w:numPr>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перераспределение (оборот) денежных средств по счетам составил 900 тыс. руб.;</w:t>
            </w:r>
          </w:p>
          <w:p>
            <w:pPr>
              <w:pStyle w:val="ListParagraph"/>
              <w:widowControl/>
              <w:numPr>
                <w:ilvl w:val="0"/>
                <w:numId w:val="8"/>
              </w:numPr>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сумма денежных средств, поступивших на счета, – 500 тыс. руб.</w:t>
            </w:r>
          </w:p>
          <w:p>
            <w:pPr>
              <w:pStyle w:val="ListParagraph"/>
              <w:widowControl/>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 xml:space="preserve">Таким образом, для целей определения необходимости заполнения графы </w:t>
            </w:r>
            <w:r>
              <w:rPr>
                <w:rFonts w:eastAsia="Calibri" w:cs="Times New Roman" w:ascii="Times New Roman" w:hAnsi="Times New Roman"/>
                <w:b/>
                <w:kern w:val="0"/>
                <w:sz w:val="28"/>
                <w:lang w:val="ru-RU" w:bidi="ar-SA"/>
              </w:rPr>
              <w:t>"Сумма поступивших на счет денежных средств (руб.)"</w:t>
            </w:r>
            <w:r>
              <w:rPr>
                <w:rFonts w:eastAsia="Calibri" w:cs="Times New Roman" w:ascii="Times New Roman" w:hAnsi="Times New Roman"/>
                <w:iCs/>
                <w:kern w:val="0"/>
                <w:sz w:val="28"/>
                <w:szCs w:val="28"/>
                <w:lang w:val="ru-RU" w:bidi="ar-SA"/>
              </w:rPr>
              <w:t xml:space="preserve"> раздела 4 справки необходимо сравнивать совокупный доход с 500 тыс. руб.</w:t>
            </w:r>
          </w:p>
        </w:tc>
      </w:tr>
      <w:tr>
        <w:trPr/>
        <w:tc>
          <w:tcPr>
            <w:tcW w:w="10195" w:type="dxa"/>
            <w:tcBorders/>
            <w:shd w:color="auto" w:fill="FFFFFF" w:themeFill="background1" w:val="clear"/>
          </w:tcPr>
          <w:p>
            <w:pPr>
              <w:pStyle w:val="ListParagraph"/>
              <w:widowControl/>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По состоянию на отчетную дату и в течение отчетного периода у служащего (работника) открыто два счета.</w:t>
            </w:r>
          </w:p>
          <w:p>
            <w:pPr>
              <w:pStyle w:val="ListParagraph"/>
              <w:widowControl/>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 xml:space="preserve">В течение отчетного периода на счет "А" поступило 400 тыс. руб.; на счет "Б" – </w:t>
              <w:br/>
              <w:t>300 тыс. руб.</w:t>
            </w:r>
          </w:p>
          <w:p>
            <w:pPr>
              <w:pStyle w:val="ListParagraph"/>
              <w:widowControl/>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 xml:space="preserve">Сначала со счета "А" на счет "Б" переведены 200 тыс. руб., потом со счета "Б" </w:t>
              <w:br/>
              <w:t>на счет "А" – 500 тыс. руб.</w:t>
            </w:r>
          </w:p>
          <w:p>
            <w:pPr>
              <w:pStyle w:val="Normal"/>
              <w:widowControl/>
              <w:tabs>
                <w:tab w:val="clear" w:pos="709"/>
                <w:tab w:val="left" w:pos="454" w:leader="none"/>
                <w:tab w:val="left" w:pos="9390" w:leader="none"/>
              </w:tabs>
              <w:spacing w:before="0" w:after="0"/>
              <w:ind w:left="0" w:right="0" w:hanging="0"/>
              <w:rPr>
                <w:rFonts w:ascii="Times New Roman" w:hAnsi="Times New Roman"/>
                <w:iCs/>
                <w:sz w:val="28"/>
                <w:szCs w:val="28"/>
              </w:rPr>
            </w:pPr>
            <w:r>
              <w:rPr>
                <w:rFonts w:eastAsia="Calibri" w:cs="Times New Roman" w:ascii="Times New Roman" w:hAnsi="Times New Roman"/>
                <w:iCs/>
                <w:kern w:val="0"/>
                <w:sz w:val="28"/>
                <w:szCs w:val="28"/>
                <w:lang w:val="ru-RU" w:bidi="ar-SA"/>
              </w:rPr>
              <w:t>В данном примере:</w:t>
            </w:r>
          </w:p>
          <w:p>
            <w:pPr>
              <w:pStyle w:val="ListParagraph"/>
              <w:widowControl/>
              <w:numPr>
                <w:ilvl w:val="0"/>
                <w:numId w:val="9"/>
              </w:numPr>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перераспределение (оборот) денежных средств по счетам составил 1400 тыс. руб.;</w:t>
            </w:r>
          </w:p>
          <w:p>
            <w:pPr>
              <w:pStyle w:val="ListParagraph"/>
              <w:widowControl/>
              <w:numPr>
                <w:ilvl w:val="0"/>
                <w:numId w:val="9"/>
              </w:numPr>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сумма денежных средств, поступивших на счета, – 700 тыс. руб.</w:t>
            </w:r>
          </w:p>
          <w:p>
            <w:pPr>
              <w:pStyle w:val="ListParagraph"/>
              <w:widowControl/>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 xml:space="preserve">Таким образом, для целей определения необходимости заполнения графы </w:t>
            </w:r>
            <w:r>
              <w:rPr>
                <w:rFonts w:eastAsia="Calibri" w:cs="Times New Roman" w:ascii="Times New Roman" w:hAnsi="Times New Roman"/>
                <w:b/>
                <w:kern w:val="0"/>
                <w:sz w:val="28"/>
                <w:lang w:val="ru-RU" w:bidi="ar-SA"/>
              </w:rPr>
              <w:t>"Сумма поступивших на счет денежных средств (руб.)"</w:t>
            </w:r>
            <w:r>
              <w:rPr>
                <w:rFonts w:eastAsia="Calibri" w:cs="Times New Roman" w:ascii="Times New Roman" w:hAnsi="Times New Roman"/>
                <w:iCs/>
                <w:kern w:val="0"/>
                <w:sz w:val="28"/>
                <w:szCs w:val="28"/>
                <w:lang w:val="ru-RU" w:bidi="ar-SA"/>
              </w:rPr>
              <w:t xml:space="preserve"> раздела 4 справки необходимо сравнивать совокупный доход с 700 тыс. руб.</w:t>
            </w:r>
          </w:p>
        </w:tc>
      </w:tr>
      <w:tr>
        <w:trPr/>
        <w:tc>
          <w:tcPr>
            <w:tcW w:w="10195" w:type="dxa"/>
            <w:tcBorders/>
            <w:shd w:color="auto" w:fill="FFFFFF" w:themeFill="background1" w:val="clear"/>
          </w:tcPr>
          <w:p>
            <w:pPr>
              <w:pStyle w:val="ListParagraph"/>
              <w:widowControl/>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По состоянию на отчетную дату и в течение отчетного периода у служащего (работника)открыто два счета.</w:t>
            </w:r>
          </w:p>
          <w:p>
            <w:pPr>
              <w:pStyle w:val="ListParagraph"/>
              <w:widowControl/>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 xml:space="preserve">В течение отчетного периода на счет "А" поступило 500 тыс. руб. Впоследствии </w:t>
              <w:br/>
              <w:t>со счета "А" в банкомате сняли 500 тыс. руб. и зачислили их также с помощью банкомата на счет "Б".</w:t>
            </w:r>
          </w:p>
          <w:p>
            <w:pPr>
              <w:pStyle w:val="Normal"/>
              <w:widowControl/>
              <w:tabs>
                <w:tab w:val="clear" w:pos="709"/>
                <w:tab w:val="left" w:pos="454" w:leader="none"/>
                <w:tab w:val="left" w:pos="9390" w:leader="none"/>
              </w:tabs>
              <w:spacing w:before="0" w:after="0"/>
              <w:ind w:left="0" w:right="0" w:hanging="0"/>
              <w:rPr>
                <w:rFonts w:ascii="Times New Roman" w:hAnsi="Times New Roman"/>
                <w:iCs/>
                <w:sz w:val="28"/>
                <w:szCs w:val="28"/>
              </w:rPr>
            </w:pPr>
            <w:r>
              <w:rPr>
                <w:rFonts w:eastAsia="Calibri" w:cs="Times New Roman" w:ascii="Times New Roman" w:hAnsi="Times New Roman"/>
                <w:iCs/>
                <w:kern w:val="0"/>
                <w:sz w:val="28"/>
                <w:szCs w:val="28"/>
                <w:lang w:val="ru-RU" w:bidi="ar-SA"/>
              </w:rPr>
              <w:t>В данном примере:</w:t>
            </w:r>
          </w:p>
          <w:p>
            <w:pPr>
              <w:pStyle w:val="ListParagraph"/>
              <w:widowControl/>
              <w:numPr>
                <w:ilvl w:val="0"/>
                <w:numId w:val="11"/>
              </w:numPr>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перераспределение (оборот) денежных средств по счетам составил 1000 тыс. руб.;</w:t>
            </w:r>
          </w:p>
          <w:p>
            <w:pPr>
              <w:pStyle w:val="ListParagraph"/>
              <w:widowControl/>
              <w:numPr>
                <w:ilvl w:val="0"/>
                <w:numId w:val="11"/>
              </w:numPr>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сумма денежных средств, поступивших на счета, – 1000 тыс. руб.</w:t>
            </w:r>
          </w:p>
          <w:p>
            <w:pPr>
              <w:pStyle w:val="ListParagraph"/>
              <w:widowControl/>
              <w:tabs>
                <w:tab w:val="clear" w:pos="709"/>
                <w:tab w:val="left" w:pos="454" w:leader="none"/>
                <w:tab w:val="left" w:pos="9390" w:leader="none"/>
              </w:tabs>
              <w:spacing w:before="0" w:after="0"/>
              <w:ind w:left="0" w:right="0" w:hanging="0"/>
              <w:contextualSpacing/>
              <w:rPr>
                <w:rFonts w:ascii="Times New Roman" w:hAnsi="Times New Roman"/>
                <w:iCs/>
                <w:sz w:val="28"/>
                <w:szCs w:val="28"/>
              </w:rPr>
            </w:pPr>
            <w:r>
              <w:rPr>
                <w:rFonts w:eastAsia="Calibri" w:cs="Times New Roman" w:ascii="Times New Roman" w:hAnsi="Times New Roman"/>
                <w:iCs/>
                <w:kern w:val="0"/>
                <w:sz w:val="28"/>
                <w:szCs w:val="28"/>
                <w:lang w:val="ru-RU" w:bidi="ar-SA"/>
              </w:rPr>
              <w:t xml:space="preserve">Таким образом, для целей определения необходимости заполнения графы </w:t>
            </w:r>
            <w:r>
              <w:rPr>
                <w:rFonts w:eastAsia="Calibri" w:cs="Times New Roman" w:ascii="Times New Roman" w:hAnsi="Times New Roman"/>
                <w:b/>
                <w:kern w:val="0"/>
                <w:sz w:val="28"/>
                <w:lang w:val="ru-RU" w:bidi="ar-SA"/>
              </w:rPr>
              <w:t>"Сумма поступивших на счет денежных средств (руб.)"</w:t>
            </w:r>
            <w:r>
              <w:rPr>
                <w:rFonts w:eastAsia="Calibri" w:cs="Times New Roman" w:ascii="Times New Roman" w:hAnsi="Times New Roman"/>
                <w:iCs/>
                <w:kern w:val="0"/>
                <w:sz w:val="28"/>
                <w:szCs w:val="28"/>
                <w:lang w:val="ru-RU" w:bidi="ar-SA"/>
              </w:rPr>
              <w:t xml:space="preserve"> раздела 4 справки необходимо сравнивать совокупный доход с 1000 тыс. руб.</w:t>
            </w:r>
          </w:p>
        </w:tc>
      </w:tr>
    </w:tbl>
    <w:p>
      <w:pPr>
        <w:pStyle w:val="ListParagraph"/>
        <w:ind w:left="0" w:firstLine="567"/>
        <w:rPr>
          <w:rFonts w:ascii="Times New Roman" w:hAnsi="Times New Roman"/>
          <w:sz w:val="28"/>
          <w:szCs w:val="28"/>
        </w:rPr>
      </w:pPr>
      <w:r>
        <w:rPr>
          <w:rFonts w:ascii="Times New Roman" w:hAnsi="Times New Roman"/>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Заполнение </w:t>
      </w:r>
      <w:r>
        <w:rPr>
          <w:rFonts w:ascii="Times New Roman" w:hAnsi="Times New Roman"/>
          <w:sz w:val="28"/>
        </w:rPr>
        <w:t>графы</w:t>
      </w:r>
      <w:r>
        <w:rPr>
          <w:rFonts w:ascii="Times New Roman" w:hAnsi="Times New Roman"/>
          <w:b/>
          <w:sz w:val="28"/>
        </w:rPr>
        <w:t xml:space="preserve"> "Сумма поступивших на счет денежных средств</w:t>
      </w:r>
      <w:r>
        <w:rPr>
          <w:rFonts w:ascii="Times New Roman" w:hAnsi="Times New Roman"/>
          <w:b/>
          <w:sz w:val="28"/>
          <w:szCs w:val="28"/>
        </w:rPr>
        <w:t xml:space="preserve"> (руб.)" </w:t>
      </w:r>
      <w:r>
        <w:rPr>
          <w:rFonts w:ascii="Times New Roman" w:hAnsi="Times New Roman"/>
          <w:sz w:val="28"/>
          <w:szCs w:val="28"/>
        </w:rPr>
        <w:t>при отсутствии оснований не является нарушением.</w:t>
      </w:r>
    </w:p>
    <w:p>
      <w:pPr>
        <w:pStyle w:val="Normal"/>
        <w:ind w:firstLine="567"/>
        <w:rPr>
          <w:rFonts w:ascii="Times New Roman" w:hAnsi="Times New Roman"/>
          <w:b/>
          <w:sz w:val="28"/>
          <w:szCs w:val="28"/>
        </w:rPr>
      </w:pPr>
      <w:r>
        <w:rPr>
          <w:rFonts w:ascii="Times New Roman" w:hAnsi="Times New Roman"/>
          <w:b/>
          <w:sz w:val="28"/>
          <w:szCs w:val="28"/>
        </w:rPr>
        <w:t>Совместный счет</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pPr>
        <w:pStyle w:val="ListParagraph"/>
        <w:ind w:left="0" w:firstLine="567"/>
        <w:rPr>
          <w:rStyle w:val="Style13"/>
          <w:rFonts w:ascii="Times New Roman" w:hAnsi="Times New Roman" w:cs="Times New Roman"/>
          <w:sz w:val="28"/>
          <w:szCs w:val="28"/>
        </w:rPr>
      </w:pPr>
      <w:r>
        <w:rPr>
          <w:rStyle w:val="Style13"/>
          <w:rFonts w:cs="Times New Roman" w:ascii="Times New Roman" w:hAnsi="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pPr>
        <w:pStyle w:val="ListParagraph"/>
        <w:ind w:left="0" w:firstLine="567"/>
        <w:rPr>
          <w:rStyle w:val="Style13"/>
          <w:rFonts w:ascii="Times New Roman" w:hAnsi="Times New Roman" w:cs="Times New Roman"/>
          <w:sz w:val="28"/>
          <w:szCs w:val="28"/>
        </w:rPr>
      </w:pPr>
      <w:r>
        <w:rPr>
          <w:rStyle w:val="Style13"/>
          <w:rFonts w:cs="Times New Roman" w:ascii="Times New Roman" w:hAnsi="Times New Roman"/>
          <w:sz w:val="28"/>
          <w:szCs w:val="28"/>
        </w:rPr>
        <w:t>В данном случае в каждой подаваемой справке представляется идентичная информация о таком счете.</w:t>
      </w:r>
    </w:p>
    <w:p>
      <w:pPr>
        <w:pStyle w:val="ListParagraph"/>
        <w:ind w:left="0" w:firstLine="567"/>
        <w:rPr>
          <w:rFonts w:ascii="Times New Roman" w:hAnsi="Times New Roman"/>
          <w:b/>
          <w:sz w:val="28"/>
          <w:szCs w:val="28"/>
        </w:rPr>
      </w:pPr>
      <w:r>
        <w:rPr>
          <w:rFonts w:ascii="Times New Roman" w:hAnsi="Times New Roman"/>
          <w:b/>
          <w:sz w:val="28"/>
          <w:szCs w:val="28"/>
        </w:rPr>
        <w:t xml:space="preserve">Кредитные карты, карты с овердрафтом, электронные средства платежа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Банк (иная кредитная организация) выпускает следующие виды карт (таблица № 7):</w:t>
      </w:r>
    </w:p>
    <w:p>
      <w:pPr>
        <w:pStyle w:val="ListParagraph"/>
        <w:ind w:left="567" w:hanging="0"/>
        <w:rPr>
          <w:rFonts w:ascii="Times New Roman" w:hAnsi="Times New Roman"/>
          <w:sz w:val="28"/>
          <w:szCs w:val="28"/>
        </w:rPr>
      </w:pPr>
      <w:r>
        <w:rPr>
          <w:rFonts w:ascii="Times New Roman" w:hAnsi="Times New Roman"/>
          <w:sz w:val="28"/>
          <w:szCs w:val="28"/>
        </w:rPr>
      </w:r>
    </w:p>
    <w:tbl>
      <w:tblPr>
        <w:tblStyle w:val="af4"/>
        <w:tblW w:w="10093" w:type="dxa"/>
        <w:jc w:val="left"/>
        <w:tblInd w:w="108" w:type="dxa"/>
        <w:tblLayout w:type="fixed"/>
        <w:tblCellMar>
          <w:top w:w="0" w:type="dxa"/>
          <w:left w:w="108" w:type="dxa"/>
          <w:bottom w:w="0" w:type="dxa"/>
          <w:right w:w="108" w:type="dxa"/>
        </w:tblCellMar>
        <w:tblLook w:noVBand="1" w:val="04a0" w:noHBand="0" w:lastColumn="0" w:firstColumn="1" w:lastRow="0" w:firstRow="1"/>
      </w:tblPr>
      <w:tblGrid>
        <w:gridCol w:w="2126"/>
        <w:gridCol w:w="7966"/>
      </w:tblGrid>
      <w:tr>
        <w:trPr/>
        <w:tc>
          <w:tcPr>
            <w:tcW w:w="2126" w:type="dxa"/>
            <w:tcBorders/>
          </w:tcPr>
          <w:p>
            <w:pPr>
              <w:pStyle w:val="ListParagraph"/>
              <w:widowControl/>
              <w:spacing w:before="0" w:after="0"/>
              <w:ind w:left="0" w:right="0" w:hanging="0"/>
              <w:contextualSpacing/>
              <w:rPr>
                <w:rFonts w:ascii="Times New Roman" w:hAnsi="Times New Roman"/>
                <w:sz w:val="28"/>
                <w:szCs w:val="28"/>
              </w:rPr>
            </w:pPr>
            <w:r>
              <w:rPr>
                <w:rFonts w:eastAsia="Calibri" w:cs="Times New Roman" w:ascii="Times New Roman" w:hAnsi="Times New Roman"/>
                <w:kern w:val="0"/>
                <w:sz w:val="28"/>
                <w:szCs w:val="28"/>
                <w:lang w:val="ru-RU" w:bidi="ar-SA"/>
              </w:rPr>
              <w:t>Расчетная (дебетовая)</w:t>
            </w:r>
          </w:p>
        </w:tc>
        <w:tc>
          <w:tcPr>
            <w:tcW w:w="7966" w:type="dxa"/>
            <w:tcBorders/>
          </w:tcPr>
          <w:p>
            <w:pPr>
              <w:pStyle w:val="ListParagraph"/>
              <w:widowControl/>
              <w:spacing w:before="0" w:after="0"/>
              <w:ind w:left="0" w:right="0" w:hanging="0"/>
              <w:contextualSpacing/>
              <w:rPr>
                <w:rFonts w:ascii="Times New Roman" w:hAnsi="Times New Roman"/>
                <w:sz w:val="28"/>
                <w:szCs w:val="28"/>
              </w:rPr>
            </w:pPr>
            <w:r>
              <w:rPr>
                <w:rFonts w:eastAsia="Calibri" w:cs="Times New Roman" w:ascii="Times New Roman" w:hAnsi="Times New Roman"/>
                <w:kern w:val="0"/>
                <w:sz w:val="28"/>
                <w:szCs w:val="28"/>
                <w:lang w:val="ru-RU" w:bidi="ar-SA"/>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trPr/>
        <w:tc>
          <w:tcPr>
            <w:tcW w:w="2126" w:type="dxa"/>
            <w:tcBorders/>
          </w:tcPr>
          <w:p>
            <w:pPr>
              <w:pStyle w:val="ListParagraph"/>
              <w:widowControl/>
              <w:spacing w:before="0" w:after="0"/>
              <w:ind w:left="0" w:right="0" w:hanging="0"/>
              <w:contextualSpacing/>
              <w:rPr>
                <w:rFonts w:ascii="Times New Roman" w:hAnsi="Times New Roman"/>
                <w:sz w:val="28"/>
                <w:szCs w:val="28"/>
              </w:rPr>
            </w:pPr>
            <w:r>
              <w:rPr>
                <w:rFonts w:eastAsia="Calibri" w:cs="Times New Roman" w:ascii="Times New Roman" w:hAnsi="Times New Roman"/>
                <w:kern w:val="0"/>
                <w:sz w:val="28"/>
                <w:szCs w:val="28"/>
                <w:lang w:val="ru-RU" w:bidi="ar-SA"/>
              </w:rPr>
              <w:t>Кредитная</w:t>
            </w:r>
          </w:p>
        </w:tc>
        <w:tc>
          <w:tcPr>
            <w:tcW w:w="7966" w:type="dxa"/>
            <w:tcBorders/>
          </w:tcPr>
          <w:p>
            <w:pPr>
              <w:pStyle w:val="ListParagraph"/>
              <w:widowControl/>
              <w:spacing w:before="0" w:after="0"/>
              <w:ind w:left="0" w:right="0" w:hanging="0"/>
              <w:contextualSpacing/>
              <w:rPr>
                <w:rFonts w:ascii="Times New Roman" w:hAnsi="Times New Roman"/>
                <w:sz w:val="28"/>
                <w:szCs w:val="28"/>
              </w:rPr>
            </w:pPr>
            <w:r>
              <w:rPr>
                <w:rFonts w:eastAsia="Calibri" w:cs="Times New Roman" w:ascii="Times New Roman" w:hAnsi="Times New Roman"/>
                <w:kern w:val="0"/>
                <w:sz w:val="28"/>
                <w:szCs w:val="28"/>
                <w:lang w:val="ru-RU" w:bidi="ar-SA"/>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pPr>
        <w:pStyle w:val="ListParagraph"/>
        <w:ind w:left="567" w:hanging="0"/>
        <w:rPr>
          <w:rFonts w:ascii="Times New Roman" w:hAnsi="Times New Roman"/>
          <w:sz w:val="28"/>
          <w:szCs w:val="28"/>
        </w:rPr>
      </w:pPr>
      <w:r>
        <w:rPr>
          <w:rFonts w:ascii="Times New Roman" w:hAnsi="Times New Roman"/>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Расчетная (дебетовая) и, как правило, кредитные карты предполагают открытие и ведение банком (иной кредитной организацией) счета.</w:t>
      </w:r>
    </w:p>
    <w:p>
      <w:pPr>
        <w:pStyle w:val="ListParagraph"/>
        <w:ind w:left="0" w:firstLine="567"/>
        <w:rPr>
          <w:rFonts w:ascii="Times New Roman" w:hAnsi="Times New Roman"/>
          <w:color w:val="000000"/>
          <w:sz w:val="28"/>
          <w:szCs w:val="28"/>
        </w:rPr>
      </w:pPr>
      <w:r>
        <w:rPr>
          <w:rFonts w:ascii="Times New Roman" w:hAnsi="Times New Roman"/>
          <w:sz w:val="28"/>
          <w:szCs w:val="28"/>
        </w:rPr>
        <w:t xml:space="preserve">Кроме того, необходимо обращать внимание, что </w:t>
      </w:r>
      <w:r>
        <w:rPr>
          <w:rFonts w:ascii="Times New Roman" w:hAnsi="Times New Roman"/>
          <w:color w:val="000000"/>
          <w:sz w:val="28"/>
          <w:szCs w:val="28"/>
        </w:rPr>
        <w:t>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pPr>
        <w:pStyle w:val="ListParagraph"/>
        <w:ind w:left="0" w:firstLine="567"/>
        <w:rPr>
          <w:rFonts w:ascii="Times New Roman" w:hAnsi="Times New Roman"/>
          <w:sz w:val="28"/>
          <w:szCs w:val="28"/>
        </w:rPr>
      </w:pPr>
      <w:r>
        <w:rPr>
          <w:rFonts w:ascii="Times New Roman" w:hAnsi="Times New Roman"/>
          <w:color w:val="000000"/>
          <w:sz w:val="28"/>
          <w:szCs w:val="28"/>
        </w:rPr>
        <w:t xml:space="preserve">Информация о наличии банковских счетов, открытых с 1 июля 2014 года, </w:t>
        <w:br/>
        <w:t xml:space="preserve">может быть получена в ФНС России. Информацией о ранее открытых счетах </w:t>
        <w:br/>
        <w:t xml:space="preserve">в банках (если такие счета не закрывались либо по ним не было изменений) </w:t>
        <w:br/>
        <w:t xml:space="preserve">налоговые органы не располагают. Порядок обращения за данными </w:t>
        <w:br/>
        <w:t xml:space="preserve">сведениями изложен на официальном сайте ФНС России по ссылке: </w:t>
      </w:r>
      <w:hyperlink r:id="rId30" w:tgtFrame="https://www.nalog.ru/rn77/related_activities/accounting/bank_account/">
        <w:r>
          <w:rPr>
            <w:rStyle w:val="-"/>
            <w:rFonts w:ascii="Times New Roman" w:hAnsi="Times New Roman"/>
            <w:sz w:val="28"/>
            <w:szCs w:val="28"/>
          </w:rPr>
          <w:t>https://www.nalog.ru/rn77/related_activities/accounting/bank_account/</w:t>
        </w:r>
      </w:hyperlink>
      <w:r>
        <w:rPr>
          <w:rFonts w:ascii="Times New Roman" w:hAnsi="Times New Roman"/>
          <w:sz w:val="28"/>
          <w:szCs w:val="28"/>
        </w:rPr>
        <w:t>.</w:t>
      </w:r>
    </w:p>
    <w:p>
      <w:pPr>
        <w:pStyle w:val="ListParagraph"/>
        <w:ind w:left="0" w:firstLine="567"/>
        <w:rPr>
          <w:rFonts w:ascii="Times New Roman" w:hAnsi="Times New Roman"/>
          <w:color w:val="000000"/>
          <w:sz w:val="28"/>
          <w:szCs w:val="28"/>
        </w:rPr>
      </w:pPr>
      <w:r>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Следует обращать внимание, что основанием закрытия счета является прекращение договора счета в установленном порядке или соглашение сторон.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w:t>
      </w:r>
      <w:r>
        <w:rPr>
          <w:rFonts w:ascii="Times New Roman" w:hAnsi="Times New Roman"/>
          <w:b/>
          <w:sz w:val="28"/>
          <w:szCs w:val="28"/>
        </w:rPr>
        <w:t>не указываются</w:t>
      </w:r>
      <w:r>
        <w:rPr>
          <w:rFonts w:ascii="Times New Roman" w:hAnsi="Times New Roman"/>
          <w:sz w:val="28"/>
          <w:szCs w:val="28"/>
        </w:rPr>
        <w:t>:</w:t>
      </w:r>
    </w:p>
    <w:p>
      <w:pPr>
        <w:pStyle w:val="ListParagraph"/>
        <w:numPr>
          <w:ilvl w:val="1"/>
          <w:numId w:val="1"/>
        </w:numPr>
        <w:ind w:left="0" w:firstLine="567"/>
        <w:rPr>
          <w:rFonts w:ascii="Times New Roman" w:hAnsi="Times New Roman"/>
          <w:sz w:val="28"/>
          <w:szCs w:val="28"/>
        </w:rPr>
      </w:pPr>
      <w:r>
        <w:rPr>
          <w:rFonts w:ascii="Times New Roman" w:hAnsi="Times New Roman"/>
          <w:sz w:val="28"/>
        </w:rPr>
        <w:t>счета</w:t>
      </w:r>
      <w:r>
        <w:rPr>
          <w:rFonts w:ascii="Times New Roman" w:hAnsi="Times New Roman"/>
          <w:sz w:val="28"/>
          <w:szCs w:val="28"/>
        </w:rPr>
        <w:t xml:space="preserve">,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 </w:t>
      </w:r>
    </w:p>
    <w:p>
      <w:pPr>
        <w:pStyle w:val="ListParagraph"/>
        <w:numPr>
          <w:ilvl w:val="1"/>
          <w:numId w:val="1"/>
        </w:numPr>
        <w:ind w:left="0" w:firstLine="567"/>
        <w:rPr>
          <w:rFonts w:ascii="Times New Roman" w:hAnsi="Times New Roman"/>
          <w:sz w:val="28"/>
          <w:szCs w:val="28"/>
        </w:rPr>
      </w:pPr>
      <w:r>
        <w:rPr>
          <w:rFonts w:ascii="Times New Roman" w:hAnsi="Times New Roman"/>
          <w:sz w:val="28"/>
          <w:szCs w:val="28"/>
        </w:rPr>
        <w:t xml:space="preserve">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w:t>
      </w:r>
    </w:p>
    <w:p>
      <w:pPr>
        <w:pStyle w:val="ListParagraph"/>
        <w:numPr>
          <w:ilvl w:val="1"/>
          <w:numId w:val="1"/>
        </w:numPr>
        <w:ind w:left="0" w:firstLine="709"/>
        <w:rPr>
          <w:rFonts w:ascii="Times New Roman" w:hAnsi="Times New Roman"/>
          <w:sz w:val="28"/>
          <w:szCs w:val="28"/>
        </w:rPr>
      </w:pPr>
      <w:r>
        <w:rPr>
          <w:rFonts w:ascii="Times New Roman" w:hAnsi="Times New Roman"/>
          <w:sz w:val="28"/>
          <w:szCs w:val="28"/>
        </w:rPr>
        <w:t>сведения о заключении договора долгосрочных сбережений в соответствии с Федеральным законом от 7 мая 1998 г. № 75-ФЗ "О негосударственных пенсионных фондах";</w:t>
      </w:r>
    </w:p>
    <w:p>
      <w:pPr>
        <w:pStyle w:val="ListParagraph"/>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 в том числе "электронные кошельки" (например, "ЮMoney", карта O</w:t>
      </w:r>
      <w:r>
        <w:rPr>
          <w:rFonts w:ascii="Times New Roman" w:hAnsi="Times New Roman"/>
          <w:sz w:val="28"/>
          <w:szCs w:val="28"/>
          <w:lang w:val="en-US"/>
        </w:rPr>
        <w:t>ZON</w:t>
      </w:r>
      <w:r>
        <w:rPr>
          <w:rFonts w:ascii="Times New Roman" w:hAnsi="Times New Roman"/>
          <w:sz w:val="28"/>
          <w:szCs w:val="28"/>
        </w:rPr>
        <w:t xml:space="preserve">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pPr>
        <w:pStyle w:val="Normal"/>
        <w:ind w:firstLine="567"/>
        <w:rPr>
          <w:rFonts w:ascii="Times New Roman" w:hAnsi="Times New Roman"/>
          <w:sz w:val="28"/>
          <w:szCs w:val="28"/>
        </w:rPr>
      </w:pPr>
      <w:r>
        <w:rPr>
          <w:rFonts w:ascii="Times New Roman" w:hAnsi="Times New Roman"/>
          <w:sz w:val="28"/>
          <w:szCs w:val="28"/>
        </w:rPr>
        <w:t>Под электронным средством платежа в соответствии с пунктом 19 статьи 3 Федерального закона от 27 июня 2011 г. №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pPr>
        <w:pStyle w:val="Normal"/>
        <w:ind w:firstLine="567"/>
        <w:rPr>
          <w:rFonts w:ascii="Times New Roman" w:hAnsi="Times New Roman"/>
          <w:sz w:val="28"/>
          <w:szCs w:val="28"/>
        </w:rPr>
      </w:pPr>
      <w:r>
        <w:rPr>
          <w:rFonts w:ascii="Times New Roman" w:hAnsi="Times New Roman"/>
          <w:sz w:val="28"/>
          <w:szCs w:val="28"/>
        </w:rPr>
        <w:t>В применимой информации, представляемой ФНС России, могут указываться электронные средства платежа (ЭСП), но это не требует их отражения в разделе 4 справки.</w:t>
      </w:r>
    </w:p>
    <w:p>
      <w:pPr>
        <w:pStyle w:val="ListParagraph"/>
        <w:ind w:left="0" w:firstLine="567"/>
        <w:rPr>
          <w:rFonts w:ascii="Times New Roman" w:hAnsi="Times New Roman"/>
          <w:sz w:val="28"/>
          <w:szCs w:val="28"/>
        </w:rPr>
      </w:pPr>
      <w:r>
        <w:rPr>
          <w:rFonts w:ascii="Times New Roman" w:hAnsi="Times New Roman"/>
          <w:b/>
          <w:sz w:val="28"/>
          <w:szCs w:val="28"/>
        </w:rPr>
        <w:t xml:space="preserve">Отзыв лицензии у кредитной организации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pPr>
        <w:pStyle w:val="ListParagraph"/>
        <w:ind w:left="0" w:firstLine="567"/>
        <w:rPr>
          <w:rFonts w:ascii="Times New Roman" w:hAnsi="Times New Roman"/>
          <w:b/>
          <w:sz w:val="28"/>
          <w:szCs w:val="28"/>
        </w:rPr>
      </w:pPr>
      <w:r>
        <w:rPr>
          <w:rFonts w:ascii="Times New Roman" w:hAnsi="Times New Roman"/>
          <w:b/>
          <w:sz w:val="28"/>
          <w:szCs w:val="28"/>
        </w:rPr>
        <w:t>Ликвидация кредитной организации</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Ликвидация кредитной организации свидетельствует о закрытии счета в данной кредитной организации. </w:t>
      </w:r>
    </w:p>
    <w:p>
      <w:pPr>
        <w:pStyle w:val="ListParagraph"/>
        <w:widowControl w:val="false"/>
        <w:ind w:left="0" w:firstLine="567"/>
        <w:rPr>
          <w:rFonts w:ascii="Times New Roman" w:hAnsi="Times New Roman"/>
          <w:sz w:val="28"/>
          <w:szCs w:val="28"/>
        </w:rPr>
      </w:pPr>
      <w:r>
        <w:rPr>
          <w:rFonts w:ascii="Times New Roman" w:hAnsi="Times New Roman"/>
          <w:sz w:val="28"/>
          <w:szCs w:val="28"/>
        </w:rPr>
        <w:t>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Указания Банка России № 5798-У.</w:t>
      </w:r>
    </w:p>
    <w:p>
      <w:pPr>
        <w:pStyle w:val="ListParagraph"/>
        <w:widowControl w:val="false"/>
        <w:ind w:left="0" w:firstLine="567"/>
        <w:rPr>
          <w:rFonts w:ascii="Times New Roman" w:hAnsi="Times New Roman"/>
          <w:sz w:val="28"/>
          <w:szCs w:val="28"/>
        </w:rPr>
      </w:pPr>
      <w:r>
        <w:rPr>
          <w:rFonts w:ascii="Times New Roman" w:hAnsi="Times New Roman"/>
          <w:sz w:val="28"/>
          <w:szCs w:val="28"/>
        </w:rPr>
      </w:r>
    </w:p>
    <w:p>
      <w:pPr>
        <w:pStyle w:val="Normal"/>
        <w:ind w:hanging="0"/>
        <w:jc w:val="center"/>
        <w:rPr>
          <w:rFonts w:ascii="Times New Roman" w:hAnsi="Times New Roman"/>
          <w:b/>
          <w:sz w:val="28"/>
          <w:szCs w:val="28"/>
        </w:rPr>
      </w:pPr>
      <w:r>
        <w:rPr>
          <w:rFonts w:ascii="Times New Roman" w:hAnsi="Times New Roman"/>
          <w:b/>
          <w:sz w:val="28"/>
          <w:szCs w:val="28"/>
        </w:rPr>
        <w:t>РАЗДЕЛ 5. СВЕДЕНИЯ О ЦЕННЫХ БУМАГАХ</w:t>
      </w:r>
    </w:p>
    <w:p>
      <w:pPr>
        <w:pStyle w:val="Normal"/>
        <w:ind w:firstLine="851"/>
        <w:jc w:val="center"/>
        <w:rPr>
          <w:rFonts w:ascii="Times New Roman" w:hAnsi="Times New Roman"/>
          <w:sz w:val="28"/>
          <w:szCs w:val="28"/>
        </w:rPr>
      </w:pPr>
      <w:r>
        <w:rPr>
          <w:rFonts w:ascii="Times New Roman" w:hAnsi="Times New Roman"/>
          <w:sz w:val="28"/>
          <w:szCs w:val="28"/>
        </w:rPr>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w:t>
      </w:r>
      <w:r>
        <w:rPr>
          <w:rFonts w:ascii="Times New Roman" w:hAnsi="Times New Roman"/>
          <w:b/>
          <w:sz w:val="28"/>
        </w:rPr>
        <w:t>"Доход от ценных бумаг и долей участия в коммерческих организациях"</w:t>
      </w:r>
      <w:r>
        <w:rPr>
          <w:rFonts w:ascii="Times New Roman" w:hAnsi="Times New Roman"/>
          <w:sz w:val="28"/>
          <w:szCs w:val="28"/>
        </w:rPr>
        <w:t>).</w:t>
      </w:r>
    </w:p>
    <w:p>
      <w:pPr>
        <w:pStyle w:val="ListParagraph"/>
        <w:ind w:left="0" w:firstLine="567"/>
        <w:rPr>
          <w:rFonts w:ascii="Times New Roman" w:hAnsi="Times New Roman"/>
          <w:sz w:val="28"/>
          <w:szCs w:val="28"/>
        </w:rPr>
      </w:pPr>
      <w:r>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pPr>
        <w:pStyle w:val="ListParagraph"/>
        <w:ind w:left="0" w:firstLine="567"/>
        <w:rPr>
          <w:rFonts w:ascii="Times New Roman" w:hAnsi="Times New Roman"/>
          <w:sz w:val="28"/>
          <w:szCs w:val="28"/>
        </w:rPr>
      </w:pPr>
      <w:r>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pPr>
        <w:pStyle w:val="ListParagraph"/>
        <w:ind w:left="0" w:firstLine="567"/>
        <w:rPr>
          <w:rFonts w:ascii="Times New Roman" w:hAnsi="Times New Roman"/>
          <w:sz w:val="28"/>
          <w:szCs w:val="28"/>
        </w:rPr>
      </w:pPr>
      <w:r>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pPr>
        <w:pStyle w:val="ListParagraph"/>
        <w:ind w:left="0" w:firstLine="567"/>
        <w:rPr>
          <w:rFonts w:ascii="Times New Roman" w:hAnsi="Times New Roman"/>
          <w:sz w:val="28"/>
          <w:szCs w:val="28"/>
        </w:rPr>
      </w:pPr>
      <w:r>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pPr>
        <w:pStyle w:val="ListParagraph"/>
        <w:ind w:left="0" w:firstLine="567"/>
        <w:rPr>
          <w:rFonts w:ascii="Times New Roman" w:hAnsi="Times New Roman"/>
          <w:sz w:val="28"/>
          <w:szCs w:val="28"/>
        </w:rPr>
      </w:pPr>
      <w:r>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pPr>
        <w:pStyle w:val="ListParagraph"/>
        <w:ind w:left="0" w:firstLine="567"/>
        <w:rPr>
          <w:rFonts w:ascii="Times New Roman" w:hAnsi="Times New Roman"/>
          <w:sz w:val="28"/>
          <w:szCs w:val="28"/>
        </w:rPr>
      </w:pPr>
      <w:r>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pPr>
        <w:pStyle w:val="ListParagraph"/>
        <w:ind w:left="0" w:firstLine="567"/>
        <w:rPr>
          <w:rFonts w:ascii="Times New Roman" w:hAnsi="Times New Roman"/>
          <w:sz w:val="28"/>
          <w:szCs w:val="28"/>
        </w:rPr>
      </w:pPr>
      <w:r>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pPr>
        <w:pStyle w:val="Normal"/>
        <w:ind w:firstLine="567"/>
        <w:rPr>
          <w:rFonts w:ascii="Times New Roman" w:hAnsi="Times New Roman"/>
          <w:b/>
          <w:sz w:val="28"/>
          <w:szCs w:val="28"/>
        </w:rPr>
      </w:pPr>
      <w:r>
        <w:rPr>
          <w:rFonts w:ascii="Times New Roman" w:hAnsi="Times New Roman"/>
          <w:b/>
          <w:sz w:val="28"/>
          <w:szCs w:val="28"/>
        </w:rPr>
        <w:t xml:space="preserve">Подраздел 5.1. Акции и иное участие в коммерческих организациях и фондах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соответствии с Федеральным законом от 22 апреля 1996 г. №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"Наименование и организационно-правовая форма организации</w:t>
      </w:r>
      <w:r>
        <w:rPr>
          <w:rFonts w:ascii="Times New Roman" w:hAnsi="Times New Roman"/>
          <w:b/>
          <w:sz w:val="28"/>
        </w:rPr>
        <w:t>"</w:t>
      </w:r>
      <w:r>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pPr>
        <w:pStyle w:val="Normal"/>
        <w:tabs>
          <w:tab w:val="clear" w:pos="709"/>
          <w:tab w:val="left" w:pos="426" w:leader="none"/>
        </w:tabs>
        <w:ind w:firstLine="567"/>
        <w:rPr>
          <w:rFonts w:ascii="Times New Roman" w:hAnsi="Times New Roman"/>
          <w:sz w:val="28"/>
          <w:szCs w:val="28"/>
        </w:rPr>
      </w:pPr>
      <w:r>
        <w:rPr>
          <w:rFonts w:ascii="Times New Roman" w:hAnsi="Times New Roman"/>
          <w:sz w:val="28"/>
          <w:szCs w:val="28"/>
        </w:rP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Местонахождение организации (адрес)</w:t>
      </w:r>
      <w:r>
        <w:rPr>
          <w:rFonts w:ascii="Times New Roman" w:hAnsi="Times New Roman"/>
          <w:b/>
          <w:sz w:val="28"/>
        </w:rPr>
        <w:t>"</w:t>
      </w:r>
      <w:r>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
    <w:p>
      <w:pPr>
        <w:pStyle w:val="ListParagraph"/>
        <w:numPr>
          <w:ilvl w:val="0"/>
          <w:numId w:val="1"/>
        </w:numPr>
        <w:ind w:left="0" w:firstLine="567"/>
        <w:rPr>
          <w:rFonts w:ascii="Times New Roman" w:hAnsi="Times New Roman"/>
          <w:sz w:val="28"/>
          <w:szCs w:val="28"/>
        </w:rPr>
      </w:pPr>
      <w:r>
        <w:rPr>
          <w:rFonts w:ascii="Times New Roman" w:hAnsi="Times New Roman"/>
          <w:b/>
          <w:sz w:val="28"/>
          <w:szCs w:val="28"/>
        </w:rPr>
        <w:t>Уставный капитал</w:t>
      </w:r>
      <w:r>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w:t>
      </w:r>
      <w:r>
        <w:rPr>
          <w:rFonts w:eastAsia="Times New Roman" w:ascii="Times New Roman" w:hAnsi="Times New Roman"/>
          <w:sz w:val="28"/>
          <w:szCs w:val="28"/>
          <w:lang w:eastAsia="ru-RU"/>
        </w:rPr>
        <w:t xml:space="preserve">(с учетом положений </w:t>
      </w:r>
      <w:r>
        <w:rPr>
          <w:rFonts w:ascii="Times New Roman" w:hAnsi="Times New Roman"/>
          <w:sz w:val="28"/>
        </w:rPr>
        <w:t xml:space="preserve">пункта </w:t>
      </w:r>
      <w:r>
        <w:rPr>
          <w:rFonts w:eastAsia="Times New Roman" w:ascii="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eastAsia="Times New Roman" w:ascii="Times New Roman" w:hAnsi="Times New Roman"/>
          <w:sz w:val="28"/>
          <w:szCs w:val="28"/>
          <w:lang w:eastAsia="ru-RU"/>
        </w:rPr>
        <w:t>)</w:t>
      </w:r>
      <w:r>
        <w:rPr>
          <w:rFonts w:ascii="Times New Roman" w:hAnsi="Times New Roman"/>
          <w:sz w:val="28"/>
          <w:szCs w:val="28"/>
        </w:rPr>
        <w:t xml:space="preserve">. </w:t>
      </w:r>
    </w:p>
    <w:p>
      <w:pPr>
        <w:pStyle w:val="ListParagraph"/>
        <w:ind w:left="0" w:firstLine="567"/>
        <w:rPr>
          <w:rFonts w:ascii="Times New Roman" w:hAnsi="Times New Roman"/>
          <w:sz w:val="28"/>
          <w:szCs w:val="28"/>
        </w:rPr>
      </w:pPr>
      <w:r>
        <w:rPr>
          <w:rFonts w:ascii="Times New Roman" w:hAnsi="Times New Roman"/>
          <w:sz w:val="28"/>
          <w:szCs w:val="28"/>
        </w:rPr>
        <w:t>Если законодательством не предусмотрено формирование уставного капитала, то указывается "0 руб.".</w:t>
      </w:r>
    </w:p>
    <w:p>
      <w:pPr>
        <w:pStyle w:val="ListParagraph"/>
        <w:ind w:left="0" w:firstLine="567"/>
        <w:rPr>
          <w:rFonts w:ascii="Times New Roman" w:hAnsi="Times New Roman"/>
          <w:sz w:val="28"/>
          <w:szCs w:val="28"/>
        </w:rPr>
      </w:pPr>
      <w:r>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pPr>
        <w:pStyle w:val="ListParagraph"/>
        <w:numPr>
          <w:ilvl w:val="0"/>
          <w:numId w:val="1"/>
        </w:numPr>
        <w:ind w:left="0" w:firstLine="567"/>
        <w:rPr>
          <w:rFonts w:ascii="Times New Roman" w:hAnsi="Times New Roman"/>
          <w:sz w:val="28"/>
          <w:szCs w:val="28"/>
        </w:rPr>
      </w:pPr>
      <w:bookmarkStart w:id="5" w:name="Par620"/>
      <w:bookmarkEnd w:id="5"/>
      <w:r>
        <w:rPr>
          <w:rFonts w:ascii="Times New Roman" w:hAnsi="Times New Roman"/>
          <w:b/>
          <w:sz w:val="28"/>
          <w:szCs w:val="28"/>
        </w:rPr>
        <w:t xml:space="preserve">Доля участия </w:t>
      </w:r>
      <w:r>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СПО "Справки БК" предусмотрена графа </w:t>
      </w:r>
      <w:r>
        <w:rPr>
          <w:rFonts w:ascii="Times New Roman" w:hAnsi="Times New Roman"/>
          <w:b/>
          <w:sz w:val="28"/>
        </w:rPr>
        <w:t>"Общая стоимость</w:t>
      </w:r>
      <w:r>
        <w:rPr>
          <w:rFonts w:ascii="Times New Roman" w:hAnsi="Times New Roman"/>
          <w:b/>
          <w:sz w:val="28"/>
          <w:szCs w:val="28"/>
        </w:rPr>
        <w:t xml:space="preserve"> (руб.)"</w:t>
      </w:r>
      <w:r>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pPr>
        <w:pStyle w:val="ListParagraph"/>
        <w:ind w:left="0" w:firstLine="567"/>
        <w:rPr>
          <w:rFonts w:ascii="Times New Roman" w:hAnsi="Times New Roman"/>
          <w:sz w:val="28"/>
          <w:szCs w:val="28"/>
        </w:rPr>
      </w:pPr>
      <w:r>
        <w:rPr>
          <w:rFonts w:ascii="Times New Roman" w:hAnsi="Times New Roman"/>
          <w:sz w:val="28"/>
          <w:szCs w:val="28"/>
        </w:rPr>
        <w:t xml:space="preserve">Для значений, выраженных в иностранной валюте, стоимость указывается в рублях по курсу Банка России на отчетную дату </w:t>
      </w:r>
      <w:r>
        <w:rPr>
          <w:rFonts w:eastAsia="Times New Roman" w:ascii="Times New Roman" w:hAnsi="Times New Roman"/>
          <w:sz w:val="28"/>
          <w:szCs w:val="28"/>
          <w:lang w:eastAsia="ru-RU"/>
        </w:rPr>
        <w:t xml:space="preserve">(с учетом положений </w:t>
      </w:r>
      <w:r>
        <w:rPr>
          <w:rFonts w:ascii="Times New Roman" w:hAnsi="Times New Roman"/>
          <w:sz w:val="28"/>
        </w:rPr>
        <w:t xml:space="preserve">пункта </w:t>
      </w:r>
      <w:r>
        <w:rPr>
          <w:rFonts w:eastAsia="Times New Roman" w:ascii="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eastAsia="Times New Roman" w:ascii="Times New Roman" w:hAnsi="Times New Roman"/>
          <w:sz w:val="28"/>
          <w:szCs w:val="28"/>
          <w:lang w:eastAsia="ru-RU"/>
        </w:rPr>
        <w:t>)</w:t>
      </w:r>
      <w:r>
        <w:rPr>
          <w:rFonts w:ascii="Times New Roman" w:hAnsi="Times New Roman"/>
          <w:sz w:val="28"/>
          <w:szCs w:val="28"/>
        </w:rPr>
        <w:t xml:space="preserve">. </w:t>
      </w:r>
    </w:p>
    <w:p>
      <w:pPr>
        <w:pStyle w:val="ListParagraph"/>
        <w:ind w:left="0" w:firstLine="567"/>
        <w:rPr>
          <w:rFonts w:ascii="Times New Roman" w:hAnsi="Times New Roman"/>
          <w:sz w:val="28"/>
          <w:szCs w:val="28"/>
        </w:rPr>
      </w:pPr>
      <w:r>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разделу 5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Основание участия</w:t>
      </w:r>
      <w:r>
        <w:rPr>
          <w:rFonts w:ascii="Times New Roman" w:hAnsi="Times New Roman"/>
          <w:b/>
          <w:sz w:val="28"/>
        </w:rPr>
        <w:t>"</w:t>
      </w:r>
      <w:r>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pPr>
        <w:pStyle w:val="ListParagraph"/>
        <w:ind w:left="0" w:firstLine="567"/>
        <w:rPr>
          <w:rFonts w:ascii="Times New Roman" w:hAnsi="Times New Roman"/>
          <w:sz w:val="28"/>
          <w:szCs w:val="28"/>
        </w:rPr>
      </w:pPr>
      <w:r>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Pr>
          <w:rFonts w:ascii="Times New Roman" w:hAnsi="Times New Roman"/>
          <w:b/>
          <w:sz w:val="28"/>
        </w:rPr>
        <w:t>"</w:t>
      </w:r>
      <w:r>
        <w:rPr>
          <w:rFonts w:ascii="Times New Roman" w:hAnsi="Times New Roman"/>
          <w:b/>
          <w:sz w:val="28"/>
          <w:szCs w:val="28"/>
        </w:rPr>
        <w:t>Основание участия</w:t>
      </w:r>
      <w:r>
        <w:rPr>
          <w:rFonts w:ascii="Times New Roman" w:hAnsi="Times New Roman"/>
          <w:b/>
          <w:sz w:val="28"/>
        </w:rPr>
        <w:t>"</w:t>
      </w:r>
      <w:r>
        <w:rPr>
          <w:rFonts w:ascii="Times New Roman" w:hAnsi="Times New Roman"/>
          <w:sz w:val="28"/>
          <w:szCs w:val="28"/>
        </w:rPr>
        <w:t xml:space="preserve"> указывается "приобретено на организованных торгах", а также указывается год приобретения.</w:t>
      </w:r>
    </w:p>
    <w:p>
      <w:pPr>
        <w:pStyle w:val="ListParagraph"/>
        <w:ind w:left="567" w:hanging="0"/>
        <w:rPr>
          <w:rFonts w:ascii="Times New Roman" w:hAnsi="Times New Roman"/>
          <w:b/>
          <w:sz w:val="28"/>
          <w:szCs w:val="28"/>
        </w:rPr>
      </w:pPr>
      <w:r>
        <w:rPr>
          <w:rFonts w:ascii="Times New Roman" w:hAnsi="Times New Roman"/>
          <w:b/>
          <w:sz w:val="28"/>
          <w:szCs w:val="28"/>
        </w:rPr>
        <w:t>Подраздел 5.2. Иные ценные бумаги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 5.1 раздела 5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Номинальная величина обязательства (руб.)"</w:t>
      </w:r>
      <w:r>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pPr>
        <w:pStyle w:val="ListParagraph"/>
        <w:ind w:left="0" w:firstLine="567"/>
        <w:rPr>
          <w:rFonts w:ascii="Times New Roman" w:hAnsi="Times New Roman"/>
          <w:sz w:val="28"/>
          <w:szCs w:val="28"/>
        </w:rPr>
      </w:pPr>
      <w:r>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Общая стоимость (руб.)"</w:t>
      </w:r>
      <w:r>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pPr>
        <w:pStyle w:val="ListParagraph"/>
        <w:ind w:left="0" w:firstLine="567"/>
        <w:rPr>
          <w:rFonts w:ascii="Times New Roman" w:hAnsi="Times New Roman"/>
          <w:sz w:val="28"/>
          <w:szCs w:val="28"/>
        </w:rPr>
      </w:pPr>
      <w:r>
        <w:rPr>
          <w:rFonts w:ascii="Times New Roman" w:hAnsi="Times New Roman"/>
          <w:sz w:val="28"/>
          <w:szCs w:val="28"/>
        </w:rPr>
        <w:t xml:space="preserve">Для значений, выраженных в иностранной валюте, стоимость указывается в рублях по курсу Банка России на отчетную дату </w:t>
      </w:r>
      <w:r>
        <w:rPr>
          <w:rFonts w:eastAsia="Times New Roman" w:ascii="Times New Roman" w:hAnsi="Times New Roman"/>
          <w:sz w:val="28"/>
          <w:szCs w:val="28"/>
          <w:lang w:eastAsia="ru-RU"/>
        </w:rPr>
        <w:t xml:space="preserve">(с учетом положений </w:t>
      </w:r>
      <w:r>
        <w:rPr>
          <w:rFonts w:ascii="Times New Roman" w:hAnsi="Times New Roman"/>
          <w:sz w:val="28"/>
        </w:rPr>
        <w:t xml:space="preserve">пункта </w:t>
      </w:r>
      <w:r>
        <w:rPr>
          <w:rFonts w:eastAsia="Times New Roman" w:ascii="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eastAsia="Times New Roman" w:ascii="Times New Roman" w:hAnsi="Times New Roman"/>
          <w:sz w:val="28"/>
          <w:szCs w:val="28"/>
          <w:lang w:eastAsia="ru-RU"/>
        </w:rPr>
        <w:t>)</w:t>
      </w:r>
      <w:r>
        <w:rPr>
          <w:rFonts w:ascii="Times New Roman" w:hAnsi="Times New Roman"/>
          <w:sz w:val="28"/>
          <w:szCs w:val="28"/>
        </w:rPr>
        <w:t xml:space="preserve">. </w:t>
      </w:r>
    </w:p>
    <w:p>
      <w:pPr>
        <w:pStyle w:val="ListParagraph"/>
        <w:numPr>
          <w:ilvl w:val="0"/>
          <w:numId w:val="1"/>
        </w:numPr>
        <w:tabs>
          <w:tab w:val="clear" w:pos="709"/>
          <w:tab w:val="left" w:pos="1418" w:leader="none"/>
        </w:tabs>
        <w:ind w:left="0" w:firstLine="567"/>
        <w:rPr>
          <w:rFonts w:ascii="Times New Roman" w:hAnsi="Times New Roman"/>
          <w:sz w:val="28"/>
          <w:szCs w:val="28"/>
        </w:rPr>
      </w:pPr>
      <w:r>
        <w:rPr>
          <w:rFonts w:ascii="Times New Roman" w:hAnsi="Times New Roman"/>
          <w:sz w:val="28"/>
          <w:szCs w:val="28"/>
        </w:rPr>
        <w:t>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pPr>
        <w:pStyle w:val="ListParagraph"/>
        <w:tabs>
          <w:tab w:val="clear" w:pos="709"/>
          <w:tab w:val="left" w:pos="1418" w:leader="none"/>
        </w:tabs>
        <w:ind w:left="0" w:firstLine="567"/>
        <w:rPr>
          <w:rFonts w:ascii="Times New Roman" w:hAnsi="Times New Roman"/>
          <w:sz w:val="28"/>
          <w:szCs w:val="28"/>
        </w:rPr>
      </w:pPr>
      <w:r>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 Минтруда России от 22 сентября 2022 г. № 28-7/10/В-12862 (</w:t>
      </w:r>
      <w:hyperlink r:id="rId31">
        <w:r>
          <w:rPr>
            <w:rStyle w:val="-"/>
            <w:rFonts w:ascii="Times New Roman" w:hAnsi="Times New Roman"/>
            <w:sz w:val="28"/>
            <w:szCs w:val="28"/>
          </w:rPr>
          <w:t>https://mintrud.gov.ru/ministry/programms/anticorruption/9/21</w:t>
        </w:r>
      </w:hyperlink>
      <w:r>
        <w:rPr>
          <w:rFonts w:ascii="Times New Roman" w:hAnsi="Times New Roman"/>
          <w:sz w:val="28"/>
          <w:szCs w:val="28"/>
        </w:rPr>
        <w:t>).</w:t>
      </w:r>
    </w:p>
    <w:p>
      <w:pPr>
        <w:pStyle w:val="ListParagraph"/>
        <w:tabs>
          <w:tab w:val="clear" w:pos="709"/>
          <w:tab w:val="left" w:pos="1418" w:leader="none"/>
        </w:tabs>
        <w:ind w:left="0" w:firstLine="567"/>
        <w:rPr>
          <w:rFonts w:ascii="Times New Roman" w:hAnsi="Times New Roman"/>
          <w:sz w:val="28"/>
          <w:szCs w:val="28"/>
        </w:rPr>
      </w:pPr>
      <w:r>
        <w:rPr>
          <w:rFonts w:ascii="Times New Roman" w:hAnsi="Times New Roman"/>
          <w:sz w:val="28"/>
          <w:szCs w:val="28"/>
        </w:rPr>
      </w:r>
    </w:p>
    <w:p>
      <w:pPr>
        <w:pStyle w:val="Normal"/>
        <w:ind w:hanging="0"/>
        <w:jc w:val="center"/>
        <w:rPr>
          <w:rFonts w:ascii="Times New Roman" w:hAnsi="Times New Roman"/>
          <w:b/>
          <w:sz w:val="28"/>
          <w:szCs w:val="28"/>
        </w:rPr>
      </w:pPr>
      <w:r>
        <w:rPr>
          <w:rFonts w:ascii="Times New Roman" w:hAnsi="Times New Roman"/>
          <w:b/>
          <w:sz w:val="28"/>
          <w:szCs w:val="28"/>
        </w:rPr>
        <w:t xml:space="preserve">РАЗДЕЛ 6. СВЕДЕНИЯ ОБ ОБЯЗАТЕЛЬСТВАХ </w:t>
      </w:r>
    </w:p>
    <w:p>
      <w:pPr>
        <w:pStyle w:val="Normal"/>
        <w:ind w:hanging="0"/>
        <w:jc w:val="center"/>
        <w:rPr>
          <w:rFonts w:ascii="Times New Roman" w:hAnsi="Times New Roman"/>
          <w:b/>
          <w:sz w:val="28"/>
          <w:szCs w:val="28"/>
        </w:rPr>
      </w:pPr>
      <w:r>
        <w:rPr>
          <w:rFonts w:ascii="Times New Roman" w:hAnsi="Times New Roman"/>
          <w:b/>
          <w:sz w:val="28"/>
          <w:szCs w:val="28"/>
        </w:rPr>
        <w:t>ИМУЩЕСТВЕННОГО ХАРАКТЕРА</w:t>
      </w:r>
    </w:p>
    <w:p>
      <w:pPr>
        <w:pStyle w:val="Normal"/>
        <w:ind w:firstLine="851"/>
        <w:jc w:val="center"/>
        <w:rPr>
          <w:rFonts w:ascii="Times New Roman" w:hAnsi="Times New Roman"/>
          <w:sz w:val="28"/>
          <w:szCs w:val="28"/>
        </w:rPr>
      </w:pPr>
      <w:r>
        <w:rPr>
          <w:rFonts w:ascii="Times New Roman" w:hAnsi="Times New Roman"/>
          <w:sz w:val="28"/>
          <w:szCs w:val="28"/>
        </w:rPr>
      </w:r>
    </w:p>
    <w:p>
      <w:pPr>
        <w:pStyle w:val="Normal"/>
        <w:ind w:firstLine="567"/>
        <w:rPr>
          <w:rFonts w:ascii="Times New Roman" w:hAnsi="Times New Roman"/>
          <w:b/>
          <w:sz w:val="28"/>
          <w:szCs w:val="28"/>
        </w:rPr>
      </w:pPr>
      <w:r>
        <w:rPr>
          <w:rFonts w:ascii="Times New Roman" w:hAnsi="Times New Roman"/>
          <w:b/>
          <w:sz w:val="28"/>
          <w:szCs w:val="28"/>
        </w:rPr>
        <w:t>Подраздел 6.1. Объекты недвижимого имущества, находящиеся в пользовании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pPr>
        <w:pStyle w:val="ListParagraph"/>
        <w:ind w:left="0" w:firstLine="567"/>
        <w:rPr>
          <w:rFonts w:ascii="Times New Roman" w:hAnsi="Times New Roman"/>
          <w:sz w:val="28"/>
          <w:szCs w:val="28"/>
        </w:rPr>
      </w:pPr>
      <w:r>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pPr>
        <w:pStyle w:val="ListParagraph"/>
        <w:ind w:left="0" w:firstLine="567"/>
        <w:rPr>
          <w:rFonts w:ascii="Times New Roman" w:hAnsi="Times New Roman"/>
          <w:sz w:val="28"/>
          <w:szCs w:val="28"/>
        </w:rPr>
      </w:pPr>
      <w:r>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pPr>
        <w:pStyle w:val="ListParagraph"/>
        <w:numPr>
          <w:ilvl w:val="0"/>
          <w:numId w:val="7"/>
        </w:numPr>
        <w:tabs>
          <w:tab w:val="clear" w:pos="709"/>
          <w:tab w:val="left" w:pos="993" w:leader="none"/>
        </w:tabs>
        <w:ind w:left="0" w:firstLine="567"/>
        <w:rPr>
          <w:rFonts w:ascii="Times New Roman" w:hAnsi="Times New Roman"/>
          <w:sz w:val="28"/>
          <w:szCs w:val="28"/>
        </w:rPr>
      </w:pPr>
      <w:r>
        <w:rPr>
          <w:rFonts w:ascii="Times New Roman" w:hAnsi="Times New Roman"/>
          <w:sz w:val="28"/>
          <w:szCs w:val="28"/>
        </w:rPr>
        <w:t xml:space="preserve">отсутствует фактическое пользование этим объектом супругом; </w:t>
      </w:r>
    </w:p>
    <w:p>
      <w:pPr>
        <w:pStyle w:val="ListParagraph"/>
        <w:numPr>
          <w:ilvl w:val="0"/>
          <w:numId w:val="7"/>
        </w:numPr>
        <w:tabs>
          <w:tab w:val="clear" w:pos="709"/>
          <w:tab w:val="left" w:pos="993" w:leader="none"/>
        </w:tabs>
        <w:ind w:left="0" w:firstLine="567"/>
        <w:rPr>
          <w:rFonts w:ascii="Times New Roman" w:hAnsi="Times New Roman"/>
          <w:sz w:val="28"/>
          <w:szCs w:val="28"/>
        </w:rPr>
      </w:pPr>
      <w:r>
        <w:rPr>
          <w:rFonts w:ascii="Times New Roman" w:hAnsi="Times New Roman"/>
          <w:sz w:val="28"/>
          <w:szCs w:val="28"/>
        </w:rPr>
        <w:t xml:space="preserve">эти объекты указаны в подразделе 3.1 раздела 3 соответствующей справки. </w:t>
      </w:r>
    </w:p>
    <w:p>
      <w:pPr>
        <w:pStyle w:val="ListParagraph"/>
        <w:ind w:left="567" w:hanging="0"/>
        <w:rPr>
          <w:rFonts w:ascii="Times New Roman" w:hAnsi="Times New Roman"/>
          <w:sz w:val="28"/>
          <w:szCs w:val="28"/>
        </w:rPr>
      </w:pPr>
      <w:r>
        <w:rPr>
          <w:rFonts w:ascii="Times New Roman" w:hAnsi="Times New Roman"/>
          <w:sz w:val="28"/>
          <w:szCs w:val="28"/>
        </w:rPr>
        <w:t>Аналогично в отношении несовершеннолетних детей.</w:t>
      </w:r>
    </w:p>
    <w:p>
      <w:pPr>
        <w:pStyle w:val="ListParagraph"/>
        <w:ind w:left="0" w:firstLine="567"/>
        <w:rPr>
          <w:rFonts w:ascii="Times New Roman" w:hAnsi="Times New Roman"/>
          <w:sz w:val="28"/>
          <w:szCs w:val="28"/>
        </w:rPr>
      </w:pPr>
      <w:r>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(супругов)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pPr>
        <w:pStyle w:val="Normal"/>
        <w:ind w:firstLine="567"/>
        <w:rPr>
          <w:rFonts w:ascii="Times New Roman" w:hAnsi="Times New Roman"/>
          <w:sz w:val="28"/>
          <w:szCs w:val="28"/>
        </w:rPr>
      </w:pPr>
      <w:r>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pPr>
        <w:pStyle w:val="Normal"/>
        <w:ind w:firstLine="567"/>
        <w:rPr>
          <w:rFonts w:ascii="Times New Roman" w:hAnsi="Times New Roman"/>
          <w:sz w:val="28"/>
          <w:szCs w:val="28"/>
        </w:rPr>
      </w:pPr>
      <w:r>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pPr>
        <w:pStyle w:val="Normal"/>
        <w:ind w:firstLine="567"/>
        <w:rPr>
          <w:rFonts w:ascii="Times New Roman" w:hAnsi="Times New Roman"/>
          <w:sz w:val="28"/>
          <w:szCs w:val="28"/>
        </w:rPr>
      </w:pPr>
      <w:r>
        <w:rPr>
          <w:rFonts w:ascii="Times New Roman" w:hAnsi="Times New Roman"/>
          <w:sz w:val="28"/>
          <w:szCs w:val="28"/>
        </w:rPr>
        <w:t>3) занимаемых по договору аренды (найма, поднайма);</w:t>
      </w:r>
    </w:p>
    <w:p>
      <w:pPr>
        <w:pStyle w:val="Normal"/>
        <w:ind w:firstLine="567"/>
        <w:rPr>
          <w:rFonts w:ascii="Times New Roman" w:hAnsi="Times New Roman"/>
          <w:sz w:val="28"/>
          <w:szCs w:val="28"/>
        </w:rPr>
      </w:pPr>
      <w:r>
        <w:rPr>
          <w:rFonts w:ascii="Times New Roman" w:hAnsi="Times New Roman"/>
          <w:sz w:val="28"/>
          <w:szCs w:val="28"/>
        </w:rPr>
        <w:t>4) занимаемых по договорам социального найма;</w:t>
      </w:r>
    </w:p>
    <w:p>
      <w:pPr>
        <w:pStyle w:val="Normal"/>
        <w:ind w:firstLine="567"/>
        <w:rPr>
          <w:rFonts w:ascii="Times New Roman" w:hAnsi="Times New Roman"/>
          <w:sz w:val="28"/>
          <w:szCs w:val="28"/>
        </w:rPr>
      </w:pPr>
      <w:r>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pPr>
        <w:pStyle w:val="Normal"/>
        <w:ind w:firstLine="567"/>
        <w:rPr>
          <w:rFonts w:ascii="Times New Roman" w:hAnsi="Times New Roman"/>
          <w:sz w:val="28"/>
          <w:szCs w:val="28"/>
        </w:rPr>
      </w:pPr>
      <w:r>
        <w:rPr>
          <w:rFonts w:ascii="Times New Roman" w:hAnsi="Times New Roman"/>
          <w:sz w:val="28"/>
          <w:szCs w:val="28"/>
        </w:rPr>
        <w:t>6) принадлежащих на праве пожизненного наследуемого владения земельным участком;</w:t>
      </w:r>
    </w:p>
    <w:p>
      <w:pPr>
        <w:pStyle w:val="Normal"/>
        <w:ind w:firstLine="567"/>
        <w:rPr>
          <w:rFonts w:ascii="Times New Roman" w:hAnsi="Times New Roman"/>
          <w:sz w:val="28"/>
          <w:szCs w:val="28"/>
        </w:rPr>
      </w:pPr>
      <w:r>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При этом указывается общая площадь объекта недвижимого имущества, находящегося в пользовании.</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"Вид имущества</w:t>
      </w:r>
      <w:r>
        <w:rPr>
          <w:rFonts w:ascii="Times New Roman" w:hAnsi="Times New Roman"/>
          <w:sz w:val="28"/>
          <w:szCs w:val="28"/>
        </w:rPr>
        <w:t>" указывается вид недвижимого имущества (земельный участок, жилой дом, дача, квартира, комната и др.).</w:t>
      </w:r>
    </w:p>
    <w:p>
      <w:pPr>
        <w:pStyle w:val="ListParagraph"/>
        <w:widowControl w:val="false"/>
        <w:numPr>
          <w:ilvl w:val="0"/>
          <w:numId w:val="1"/>
        </w:numPr>
        <w:ind w:left="0" w:firstLine="567"/>
        <w:rPr>
          <w:rFonts w:ascii="Times New Roman" w:hAnsi="Times New Roman"/>
          <w:sz w:val="28"/>
          <w:szCs w:val="28"/>
        </w:rPr>
      </w:pPr>
      <w:bookmarkStart w:id="6" w:name="Par626"/>
      <w:bookmarkEnd w:id="6"/>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Вид и сроки пользования</w:t>
      </w:r>
      <w:r>
        <w:rPr>
          <w:rFonts w:ascii="Times New Roman" w:hAnsi="Times New Roman"/>
          <w:b/>
          <w:sz w:val="28"/>
        </w:rPr>
        <w:t>"</w:t>
      </w:r>
      <w:r>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pPr>
        <w:pStyle w:val="ListParagraph"/>
        <w:numPr>
          <w:ilvl w:val="0"/>
          <w:numId w:val="1"/>
        </w:numPr>
        <w:ind w:left="0" w:firstLine="567"/>
        <w:rPr>
          <w:rFonts w:ascii="Times New Roman" w:hAnsi="Times New Roman"/>
          <w:sz w:val="28"/>
          <w:szCs w:val="28"/>
        </w:rPr>
      </w:pPr>
      <w:bookmarkStart w:id="7" w:name="Par627"/>
      <w:bookmarkEnd w:id="7"/>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Основание пользования</w:t>
      </w:r>
      <w:r>
        <w:rPr>
          <w:rFonts w:ascii="Times New Roman" w:hAnsi="Times New Roman"/>
          <w:b/>
          <w:sz w:val="28"/>
        </w:rPr>
        <w:t>"</w:t>
      </w:r>
      <w:r>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w:t>
      </w:r>
      <w:r>
        <w:rPr>
          <w:rFonts w:ascii="Times New Roman" w:hAnsi="Times New Roman"/>
          <w:b/>
          <w:sz w:val="28"/>
          <w:szCs w:val="28"/>
        </w:rPr>
        <w:t>не указывается</w:t>
      </w:r>
      <w:r>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pPr>
        <w:pStyle w:val="ListParagraph"/>
        <w:ind w:left="0" w:firstLine="567"/>
        <w:rPr>
          <w:rFonts w:ascii="Times New Roman" w:hAnsi="Times New Roman"/>
          <w:sz w:val="28"/>
          <w:szCs w:val="28"/>
        </w:rPr>
      </w:pPr>
      <w:r>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pPr>
        <w:pStyle w:val="14"/>
        <w:numPr>
          <w:ilvl w:val="0"/>
          <w:numId w:val="1"/>
        </w:numPr>
        <w:shd w:val="clear" w:color="auto" w:fill="auto"/>
        <w:spacing w:lineRule="auto" w:line="240" w:before="0" w:after="0"/>
        <w:ind w:left="0" w:firstLine="567"/>
        <w:jc w:val="both"/>
        <w:rPr>
          <w:rFonts w:ascii="Times New Roman" w:hAnsi="Times New Roman"/>
        </w:rPr>
      </w:pPr>
      <w:r>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(супругу), в подраздел 6.1. раздела 6 справки не вносятся. </w:t>
      </w:r>
    </w:p>
    <w:p>
      <w:pPr>
        <w:pStyle w:val="14"/>
        <w:shd w:val="clear" w:color="auto" w:fill="auto"/>
        <w:spacing w:lineRule="auto" w:line="240" w:before="0" w:after="0"/>
        <w:ind w:firstLine="567"/>
        <w:jc w:val="both"/>
        <w:rPr>
          <w:rFonts w:ascii="Times New Roman" w:hAnsi="Times New Roman"/>
        </w:rPr>
      </w:pPr>
      <w:r>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pPr>
        <w:pStyle w:val="14"/>
        <w:shd w:val="clear" w:color="auto" w:fill="auto"/>
        <w:spacing w:lineRule="auto" w:line="240" w:before="0" w:after="0"/>
        <w:ind w:firstLine="567"/>
        <w:jc w:val="both"/>
        <w:rPr>
          <w:rFonts w:ascii="Times New Roman" w:hAnsi="Times New Roman"/>
        </w:rPr>
      </w:pPr>
      <w:r>
        <w:rPr>
          <w:rFonts w:ascii="Times New Roman" w:hAnsi="Times New Roman"/>
        </w:rPr>
        <w:t>Аналогично в отношении несовершеннолетних детей.</w:t>
      </w:r>
    </w:p>
    <w:p>
      <w:pPr>
        <w:pStyle w:val="14"/>
        <w:shd w:val="clear" w:color="auto" w:fill="auto"/>
        <w:spacing w:lineRule="auto" w:line="240" w:before="0" w:after="0"/>
        <w:ind w:firstLine="567"/>
        <w:jc w:val="both"/>
        <w:rPr>
          <w:rFonts w:ascii="Times New Roman" w:hAnsi="Times New Roman"/>
        </w:rPr>
      </w:pPr>
      <w:r>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pPr>
        <w:pStyle w:val="14"/>
        <w:shd w:val="clear" w:color="auto" w:fill="auto"/>
        <w:spacing w:lineRule="auto" w:line="240" w:before="0" w:after="0"/>
        <w:ind w:firstLine="567"/>
        <w:jc w:val="both"/>
        <w:rPr>
          <w:rFonts w:ascii="Times New Roman" w:hAnsi="Times New Roman"/>
        </w:rPr>
      </w:pPr>
      <w:r>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 xml:space="preserve">Графа </w:t>
      </w:r>
      <w:r>
        <w:rPr>
          <w:rFonts w:ascii="Times New Roman" w:hAnsi="Times New Roman"/>
          <w:b/>
          <w:sz w:val="28"/>
        </w:rPr>
        <w:t>"</w:t>
      </w:r>
      <w:r>
        <w:rPr>
          <w:rFonts w:ascii="Times New Roman" w:hAnsi="Times New Roman"/>
          <w:b/>
          <w:sz w:val="28"/>
          <w:szCs w:val="28"/>
        </w:rPr>
        <w:t>Площадь (кв. м)</w:t>
      </w:r>
      <w:r>
        <w:rPr>
          <w:rFonts w:ascii="Times New Roman" w:hAnsi="Times New Roman"/>
          <w:b/>
          <w:sz w:val="28"/>
        </w:rPr>
        <w:t>"</w:t>
      </w:r>
      <w:r>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pPr>
        <w:pStyle w:val="ListParagraph"/>
        <w:ind w:left="0" w:firstLine="567"/>
        <w:rPr>
          <w:rFonts w:ascii="Times New Roman" w:hAnsi="Times New Roman"/>
          <w:b/>
          <w:sz w:val="28"/>
          <w:szCs w:val="28"/>
        </w:rPr>
      </w:pPr>
      <w:r>
        <w:rPr>
          <w:rFonts w:ascii="Times New Roman" w:hAnsi="Times New Roman"/>
          <w:b/>
          <w:sz w:val="28"/>
          <w:szCs w:val="28"/>
        </w:rPr>
        <w:t>Подраздел 6.2. Срочные обязательства финансового характера</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указывается </w:t>
      </w:r>
      <w:r>
        <w:rPr>
          <w:rFonts w:ascii="Times New Roman" w:hAnsi="Times New Roman"/>
          <w:b/>
          <w:sz w:val="28"/>
          <w:szCs w:val="28"/>
        </w:rPr>
        <w:t>каждое</w:t>
      </w:r>
      <w:r>
        <w:rPr>
          <w:rFonts w:ascii="Times New Roman" w:hAnsi="Times New Roman"/>
          <w:sz w:val="28"/>
          <w:szCs w:val="28"/>
        </w:rPr>
        <w:t xml:space="preserve"> имеющееся на отчетную дату срочное обязательство финансового характера на сумму, </w:t>
      </w:r>
      <w:r>
        <w:rPr>
          <w:rFonts w:ascii="Times New Roman" w:hAnsi="Times New Roman"/>
          <w:b/>
          <w:sz w:val="28"/>
          <w:szCs w:val="28"/>
        </w:rPr>
        <w:t>равную или превышающую</w:t>
      </w:r>
      <w:r>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pPr>
        <w:pStyle w:val="ListParagraph"/>
        <w:ind w:left="0" w:firstLine="567"/>
        <w:rPr>
          <w:rFonts w:ascii="Times New Roman" w:hAnsi="Times New Roman"/>
          <w:sz w:val="28"/>
          <w:szCs w:val="28"/>
        </w:rPr>
      </w:pPr>
      <w:r>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pPr>
        <w:pStyle w:val="Normal"/>
        <w:ind w:firstLine="567"/>
        <w:rPr>
          <w:rFonts w:ascii="Times New Roman" w:hAnsi="Times New Roman"/>
          <w:sz w:val="28"/>
          <w:szCs w:val="28"/>
        </w:rPr>
      </w:pPr>
      <w:r>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pPr>
        <w:pStyle w:val="ListParagraph"/>
        <w:widowControl w:val="false"/>
        <w:numPr>
          <w:ilvl w:val="0"/>
          <w:numId w:val="1"/>
        </w:numPr>
        <w:ind w:left="0" w:firstLine="567"/>
        <w:rPr>
          <w:rFonts w:ascii="Times New Roman" w:hAnsi="Times New Roman"/>
          <w:sz w:val="28"/>
          <w:szCs w:val="28"/>
        </w:rPr>
      </w:pPr>
      <w:bookmarkStart w:id="8" w:name="Par629"/>
      <w:bookmarkEnd w:id="8"/>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Содержание обязательства</w:t>
      </w:r>
      <w:r>
        <w:rPr>
          <w:rFonts w:ascii="Times New Roman" w:hAnsi="Times New Roman"/>
          <w:b/>
          <w:sz w:val="28"/>
        </w:rPr>
        <w:t>"</w:t>
      </w:r>
      <w:r>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Кредитор (должник)</w:t>
      </w:r>
      <w:r>
        <w:rPr>
          <w:rFonts w:ascii="Times New Roman" w:hAnsi="Times New Roman"/>
          <w:b/>
          <w:sz w:val="28"/>
        </w:rPr>
        <w:t>"</w:t>
      </w:r>
      <w:r>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pPr>
        <w:pStyle w:val="ListParagraph"/>
        <w:widowControl w:val="false"/>
        <w:ind w:left="0" w:firstLine="567"/>
        <w:rPr>
          <w:rFonts w:ascii="Times New Roman" w:hAnsi="Times New Roman"/>
          <w:sz w:val="28"/>
          <w:szCs w:val="28"/>
        </w:rPr>
      </w:pPr>
      <w:r>
        <w:rPr>
          <w:rFonts w:ascii="Times New Roman" w:hAnsi="Times New Roman"/>
          <w:sz w:val="28"/>
          <w:szCs w:val="28"/>
        </w:rPr>
        <w:t xml:space="preserve">Например, </w:t>
      </w:r>
    </w:p>
    <w:p>
      <w:pPr>
        <w:pStyle w:val="Normal"/>
        <w:widowControl w:val="false"/>
        <w:ind w:firstLine="567"/>
        <w:rPr>
          <w:rFonts w:ascii="Times New Roman" w:hAnsi="Times New Roman"/>
          <w:sz w:val="28"/>
          <w:szCs w:val="28"/>
        </w:rPr>
      </w:pPr>
      <w:r>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Pr>
          <w:rFonts w:ascii="Times New Roman" w:hAnsi="Times New Roman"/>
          <w:b/>
          <w:sz w:val="28"/>
        </w:rPr>
        <w:t>"Кредитор (должник)"</w:t>
      </w:r>
      <w:r>
        <w:rPr>
          <w:rFonts w:ascii="Times New Roman" w:hAnsi="Times New Roman"/>
          <w:sz w:val="28"/>
          <w:szCs w:val="28"/>
        </w:rPr>
        <w:t xml:space="preserve"> указывается вторая сторона обязательства: кредитор ПАО Сбербанк;</w:t>
      </w:r>
    </w:p>
    <w:p>
      <w:pPr>
        <w:pStyle w:val="Normal"/>
        <w:ind w:firstLine="567"/>
        <w:rPr>
          <w:rFonts w:ascii="Times New Roman" w:hAnsi="Times New Roman"/>
          <w:sz w:val="28"/>
          <w:szCs w:val="28"/>
        </w:rPr>
      </w:pPr>
      <w:r>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Pr>
          <w:rFonts w:ascii="Times New Roman" w:hAnsi="Times New Roman"/>
          <w:b/>
          <w:sz w:val="28"/>
        </w:rPr>
        <w:t>"Кредитор (должник)"</w:t>
      </w:r>
      <w:r>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pPr>
        <w:pStyle w:val="ListParagraph"/>
        <w:widowControl w:val="false"/>
        <w:numPr>
          <w:ilvl w:val="0"/>
          <w:numId w:val="1"/>
        </w:numPr>
        <w:ind w:left="0" w:firstLine="567"/>
        <w:rPr>
          <w:rFonts w:ascii="Times New Roman" w:hAnsi="Times New Roman"/>
          <w:sz w:val="28"/>
          <w:szCs w:val="28"/>
        </w:rPr>
      </w:pPr>
      <w:bookmarkStart w:id="9" w:name="Par631"/>
      <w:bookmarkEnd w:id="9"/>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Основание возникновения</w:t>
      </w:r>
      <w:r>
        <w:rPr>
          <w:rFonts w:ascii="Times New Roman" w:hAnsi="Times New Roman"/>
          <w:b/>
          <w:sz w:val="28"/>
        </w:rPr>
        <w:t>"</w:t>
      </w:r>
      <w:r>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Сумма обязательства / размер обязательства по состоянию на отчетную дату</w:t>
      </w:r>
      <w:r>
        <w:rPr>
          <w:rFonts w:ascii="Times New Roman" w:hAnsi="Times New Roman"/>
          <w:b/>
          <w:sz w:val="28"/>
        </w:rPr>
        <w:t xml:space="preserve">" </w:t>
      </w:r>
      <w:r>
        <w:rPr>
          <w:rFonts w:ascii="Times New Roman" w:hAnsi="Times New Roman"/>
          <w:sz w:val="28"/>
          <w:szCs w:val="28"/>
        </w:rPr>
        <w:t xml:space="preserve">указываются: </w:t>
      </w:r>
    </w:p>
    <w:p>
      <w:pPr>
        <w:pStyle w:val="ListParagraph"/>
        <w:widowControl w:val="false"/>
        <w:ind w:left="0" w:firstLine="567"/>
        <w:rPr>
          <w:rFonts w:ascii="Times New Roman" w:hAnsi="Times New Roman"/>
          <w:sz w:val="28"/>
          <w:szCs w:val="28"/>
        </w:rPr>
      </w:pPr>
      <w:r>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pPr>
        <w:pStyle w:val="ListParagraph"/>
        <w:widowControl w:val="false"/>
        <w:ind w:left="0" w:firstLine="567"/>
        <w:rPr>
          <w:rFonts w:ascii="Times New Roman" w:hAnsi="Times New Roman"/>
          <w:sz w:val="28"/>
          <w:szCs w:val="28"/>
        </w:rPr>
      </w:pPr>
      <w:r>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pPr>
        <w:pStyle w:val="ListParagraph"/>
        <w:widowControl w:val="false"/>
        <w:ind w:left="0" w:firstLine="567"/>
        <w:rPr>
          <w:rFonts w:ascii="Times New Roman" w:hAnsi="Times New Roman"/>
          <w:sz w:val="28"/>
          <w:szCs w:val="28"/>
        </w:rPr>
      </w:pPr>
      <w:r>
        <w:rPr>
          <w:rFonts w:ascii="Times New Roman" w:hAnsi="Times New Roman"/>
          <w:sz w:val="28"/>
          <w:szCs w:val="28"/>
        </w:rPr>
        <w:t xml:space="preserve">Для обязательств, выраженных в иностранной валюте, сумма указывается в рублях по курсу Банка России на отчетную дату </w:t>
      </w:r>
      <w:r>
        <w:rPr>
          <w:rFonts w:eastAsia="Times New Roman" w:ascii="Times New Roman" w:hAnsi="Times New Roman"/>
          <w:sz w:val="28"/>
          <w:szCs w:val="28"/>
          <w:lang w:eastAsia="ru-RU"/>
        </w:rPr>
        <w:t xml:space="preserve">(с учетом положений </w:t>
      </w:r>
      <w:r>
        <w:rPr>
          <w:rFonts w:ascii="Times New Roman" w:hAnsi="Times New Roman"/>
          <w:sz w:val="28"/>
        </w:rPr>
        <w:t xml:space="preserve">пункта </w:t>
      </w:r>
      <w:r>
        <w:rPr>
          <w:rFonts w:eastAsia="Times New Roman" w:ascii="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eastAsia="Times New Roman" w:ascii="Times New Roman" w:hAnsi="Times New Roman"/>
          <w:sz w:val="28"/>
          <w:szCs w:val="28"/>
          <w:lang w:eastAsia="ru-RU"/>
        </w:rPr>
        <w:t>)</w:t>
      </w:r>
      <w:r>
        <w:rPr>
          <w:rFonts w:ascii="Times New Roman" w:hAnsi="Times New Roman"/>
          <w:sz w:val="28"/>
          <w:szCs w:val="28"/>
        </w:rPr>
        <w:t xml:space="preserve">. </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pPr>
        <w:pStyle w:val="ListParagraph"/>
        <w:widowControl w:val="false"/>
        <w:numPr>
          <w:ilvl w:val="0"/>
          <w:numId w:val="1"/>
        </w:numPr>
        <w:ind w:left="0" w:firstLine="567"/>
        <w:rPr>
          <w:rFonts w:ascii="Times New Roman" w:hAnsi="Times New Roman"/>
          <w:sz w:val="28"/>
          <w:szCs w:val="28"/>
        </w:rPr>
      </w:pPr>
      <w:bookmarkStart w:id="10" w:name="Par633"/>
      <w:bookmarkEnd w:id="10"/>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Условия обязательства</w:t>
      </w:r>
      <w:r>
        <w:rPr>
          <w:rFonts w:ascii="Times New Roman" w:hAnsi="Times New Roman"/>
          <w:b/>
          <w:sz w:val="28"/>
        </w:rPr>
        <w:t>"</w:t>
      </w:r>
      <w:r>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Pr>
          <w:rFonts w:ascii="Times New Roman" w:hAnsi="Times New Roman"/>
          <w:color w:val="FF0000"/>
          <w:sz w:val="28"/>
          <w:szCs w:val="28"/>
        </w:rPr>
        <w:t xml:space="preserve"> </w:t>
      </w:r>
      <w:r>
        <w:rPr>
          <w:rFonts w:ascii="Times New Roman" w:hAnsi="Times New Roman"/>
          <w:sz w:val="28"/>
          <w:szCs w:val="28"/>
        </w:rPr>
        <w:t>обязательства гарантии и поручительства.</w:t>
      </w:r>
    </w:p>
    <w:p>
      <w:pPr>
        <w:pStyle w:val="ListParagraph"/>
        <w:numPr>
          <w:ilvl w:val="0"/>
          <w:numId w:val="1"/>
        </w:numPr>
        <w:ind w:left="0" w:firstLine="567"/>
        <w:rPr>
          <w:rFonts w:ascii="Times New Roman" w:hAnsi="Times New Roman"/>
          <w:sz w:val="28"/>
          <w:szCs w:val="28"/>
        </w:rPr>
      </w:pPr>
      <w:r>
        <w:rPr>
          <w:rFonts w:ascii="Times New Roman" w:hAnsi="Times New Roman"/>
          <w:sz w:val="28"/>
          <w:szCs w:val="28"/>
        </w:rPr>
        <w:t>Помимо прочего подлежат указанию:</w:t>
      </w:r>
    </w:p>
    <w:p>
      <w:pPr>
        <w:pStyle w:val="Normal"/>
        <w:ind w:firstLine="567"/>
        <w:rPr>
          <w:rFonts w:ascii="Times New Roman" w:hAnsi="Times New Roman"/>
          <w:sz w:val="28"/>
          <w:szCs w:val="28"/>
        </w:rPr>
      </w:pPr>
      <w:r>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pPr>
        <w:pStyle w:val="Normal"/>
        <w:ind w:firstLine="567"/>
        <w:rPr>
          <w:rFonts w:ascii="Times New Roman" w:hAnsi="Times New Roman"/>
          <w:sz w:val="28"/>
          <w:szCs w:val="28"/>
        </w:rPr>
      </w:pPr>
      <w:r>
        <w:rPr>
          <w:rFonts w:ascii="Times New Roman" w:hAnsi="Times New Roman"/>
          <w:sz w:val="28"/>
          <w:szCs w:val="28"/>
        </w:rPr>
        <w:t>2) договор финансовой аренды (лизинг);</w:t>
      </w:r>
    </w:p>
    <w:p>
      <w:pPr>
        <w:pStyle w:val="Normal"/>
        <w:ind w:firstLine="567"/>
        <w:rPr>
          <w:rFonts w:ascii="Times New Roman" w:hAnsi="Times New Roman"/>
          <w:sz w:val="28"/>
          <w:szCs w:val="28"/>
        </w:rPr>
      </w:pPr>
      <w:r>
        <w:rPr>
          <w:rFonts w:ascii="Times New Roman" w:hAnsi="Times New Roman"/>
          <w:sz w:val="28"/>
          <w:szCs w:val="28"/>
        </w:rPr>
        <w:t>3) договор займа;</w:t>
      </w:r>
    </w:p>
    <w:p>
      <w:pPr>
        <w:pStyle w:val="ListParagraph"/>
        <w:ind w:left="0" w:firstLine="567"/>
        <w:rPr>
          <w:rFonts w:ascii="Times New Roman" w:hAnsi="Times New Roman"/>
          <w:sz w:val="28"/>
          <w:szCs w:val="28"/>
        </w:rPr>
      </w:pPr>
      <w:r>
        <w:rPr>
          <w:rFonts w:ascii="Times New Roman" w:hAnsi="Times New Roman"/>
          <w:sz w:val="28"/>
          <w:szCs w:val="28"/>
        </w:rPr>
        <w:t>4) договор финансирования под уступку денежного требования;</w:t>
      </w:r>
    </w:p>
    <w:p>
      <w:pPr>
        <w:pStyle w:val="ListParagraph"/>
        <w:ind w:left="0" w:firstLine="567"/>
        <w:rPr>
          <w:rFonts w:ascii="Times New Roman" w:hAnsi="Times New Roman"/>
          <w:sz w:val="28"/>
          <w:szCs w:val="28"/>
        </w:rPr>
      </w:pPr>
      <w:r>
        <w:rPr>
          <w:rFonts w:ascii="Times New Roman" w:hAnsi="Times New Roman"/>
          <w:sz w:val="28"/>
          <w:szCs w:val="28"/>
        </w:rPr>
        <w:t>5) обязательства, связанные с заключением договора об уступке права требования;</w:t>
      </w:r>
    </w:p>
    <w:p>
      <w:pPr>
        <w:pStyle w:val="Normal"/>
        <w:ind w:firstLine="567"/>
        <w:rPr>
          <w:rFonts w:ascii="Times New Roman" w:hAnsi="Times New Roman"/>
          <w:sz w:val="28"/>
          <w:szCs w:val="28"/>
        </w:rPr>
      </w:pPr>
      <w:r>
        <w:rPr>
          <w:rFonts w:ascii="Times New Roman" w:hAnsi="Times New Roman"/>
          <w:sz w:val="28"/>
          <w:szCs w:val="28"/>
        </w:rPr>
        <w:t>6) обязательства вследствие причинения вреда (финансовые);</w:t>
      </w:r>
    </w:p>
    <w:p>
      <w:pPr>
        <w:pStyle w:val="Normal"/>
        <w:ind w:firstLine="567"/>
        <w:rPr>
          <w:rFonts w:ascii="Times New Roman" w:hAnsi="Times New Roman"/>
          <w:sz w:val="28"/>
          <w:szCs w:val="28"/>
        </w:rPr>
      </w:pPr>
      <w:r>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pPr>
        <w:pStyle w:val="Normal"/>
        <w:ind w:firstLine="567"/>
        <w:rPr>
          <w:rFonts w:ascii="Times New Roman" w:hAnsi="Times New Roman"/>
          <w:sz w:val="28"/>
          <w:szCs w:val="28"/>
        </w:rPr>
      </w:pPr>
      <w:r>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pPr>
        <w:pStyle w:val="Normal"/>
        <w:ind w:firstLine="567"/>
        <w:rPr>
          <w:rFonts w:ascii="Times New Roman" w:hAnsi="Times New Roman"/>
          <w:sz w:val="28"/>
          <w:szCs w:val="28"/>
        </w:rPr>
      </w:pPr>
      <w:r>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pPr>
        <w:pStyle w:val="Normal"/>
        <w:ind w:firstLine="567"/>
        <w:rPr>
          <w:rFonts w:ascii="Times New Roman" w:hAnsi="Times New Roman"/>
          <w:sz w:val="28"/>
          <w:szCs w:val="28"/>
        </w:rPr>
      </w:pPr>
      <w:r>
        <w:rPr>
          <w:rFonts w:ascii="Times New Roman" w:hAnsi="Times New Roman"/>
          <w:sz w:val="28"/>
          <w:szCs w:val="28"/>
        </w:rPr>
        <w:t>10) выкупленная дебиторская задолженность;</w:t>
      </w:r>
    </w:p>
    <w:p>
      <w:pPr>
        <w:pStyle w:val="Normal"/>
        <w:ind w:firstLine="567"/>
        <w:rPr>
          <w:rFonts w:ascii="Times New Roman" w:hAnsi="Times New Roman"/>
          <w:sz w:val="28"/>
          <w:szCs w:val="28"/>
        </w:rPr>
      </w:pPr>
      <w:r>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pPr>
        <w:pStyle w:val="Normal"/>
        <w:ind w:firstLine="567"/>
        <w:rPr>
          <w:rFonts w:ascii="Times New Roman" w:hAnsi="Times New Roman"/>
          <w:sz w:val="28"/>
          <w:szCs w:val="28"/>
        </w:rPr>
      </w:pPr>
      <w:r>
        <w:rPr>
          <w:rFonts w:ascii="Times New Roman" w:hAnsi="Times New Roman"/>
          <w:sz w:val="28"/>
          <w:szCs w:val="28"/>
        </w:rPr>
        <w:t>12) предоставленные брокером займы (т.н. "маржинальные сделки");</w:t>
      </w:r>
    </w:p>
    <w:p>
      <w:pPr>
        <w:pStyle w:val="Normal"/>
        <w:ind w:firstLine="567"/>
        <w:rPr>
          <w:rFonts w:ascii="Times New Roman" w:hAnsi="Times New Roman"/>
          <w:sz w:val="28"/>
          <w:szCs w:val="28"/>
        </w:rPr>
      </w:pPr>
      <w:r>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pPr>
        <w:pStyle w:val="Normal"/>
        <w:ind w:firstLine="567"/>
        <w:rPr>
          <w:rFonts w:ascii="Times New Roman" w:hAnsi="Times New Roman"/>
          <w:sz w:val="28"/>
          <w:szCs w:val="28"/>
        </w:rPr>
      </w:pPr>
      <w:r>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pPr>
        <w:pStyle w:val="Normal"/>
        <w:ind w:firstLine="567"/>
        <w:rPr>
          <w:rFonts w:ascii="Times New Roman" w:hAnsi="Times New Roman"/>
          <w:sz w:val="28"/>
          <w:szCs w:val="28"/>
        </w:rPr>
      </w:pPr>
      <w:r>
        <w:rPr>
          <w:rFonts w:ascii="Times New Roman" w:hAnsi="Times New Roman"/>
          <w:sz w:val="28"/>
          <w:szCs w:val="28"/>
        </w:rPr>
        <w:t>14) фьючерсный договор;</w:t>
      </w:r>
    </w:p>
    <w:p>
      <w:pPr>
        <w:pStyle w:val="Normal"/>
        <w:ind w:firstLine="567"/>
        <w:rPr>
          <w:rFonts w:ascii="Times New Roman" w:hAnsi="Times New Roman"/>
          <w:sz w:val="28"/>
          <w:szCs w:val="28"/>
        </w:rPr>
      </w:pPr>
      <w:r>
        <w:rPr>
          <w:rFonts w:ascii="Times New Roman" w:hAnsi="Times New Roman"/>
          <w:sz w:val="28"/>
          <w:szCs w:val="28"/>
        </w:rPr>
        <w:t>15) иные обязательства, в том числе установленные решением суда.</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b/>
          <w:sz w:val="28"/>
          <w:szCs w:val="28"/>
        </w:rPr>
        <w:t>Отдельные виды срочных обязательств финансового характера</w:t>
      </w:r>
      <w:r>
        <w:rPr>
          <w:rFonts w:ascii="Times New Roman" w:hAnsi="Times New Roman"/>
          <w:sz w:val="28"/>
          <w:szCs w:val="28"/>
        </w:rPr>
        <w:t>:</w:t>
      </w:r>
    </w:p>
    <w:p>
      <w:pPr>
        <w:pStyle w:val="ListParagraph"/>
        <w:widowControl w:val="false"/>
        <w:ind w:left="0" w:firstLine="567"/>
        <w:rPr>
          <w:rFonts w:ascii="Times New Roman" w:hAnsi="Times New Roman"/>
          <w:sz w:val="28"/>
          <w:szCs w:val="28"/>
        </w:rPr>
      </w:pPr>
      <w:r>
        <w:rPr>
          <w:rFonts w:ascii="Times New Roman" w:hAnsi="Times New Roman"/>
          <w:b/>
          <w:sz w:val="28"/>
          <w:szCs w:val="28"/>
        </w:rPr>
        <w:t xml:space="preserve">1) участие в долевом строительстве объекта недвижимости. </w:t>
      </w:r>
      <w:r>
        <w:rPr>
          <w:rFonts w:ascii="Times New Roman" w:hAnsi="Times New Roman"/>
          <w:sz w:val="28"/>
          <w:szCs w:val="28"/>
        </w:rPr>
        <w:t>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pPr>
        <w:pStyle w:val="Normal"/>
        <w:ind w:firstLine="567"/>
        <w:rPr>
          <w:rFonts w:ascii="Times New Roman" w:hAnsi="Times New Roman"/>
          <w:sz w:val="28"/>
          <w:szCs w:val="28"/>
        </w:rPr>
      </w:pPr>
      <w:r>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Pr>
          <w:rFonts w:ascii="Times New Roman" w:hAnsi="Times New Roman"/>
          <w:b/>
          <w:sz w:val="28"/>
          <w:szCs w:val="28"/>
        </w:rPr>
        <w:t>"Кредитор (должник)"</w:t>
      </w:r>
      <w:r>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Pr>
          <w:rFonts w:ascii="Times New Roman" w:hAnsi="Times New Roman"/>
          <w:b/>
          <w:sz w:val="28"/>
        </w:rPr>
        <w:t xml:space="preserve">"Условие обязательства" </w:t>
      </w:r>
      <w:r>
        <w:rPr>
          <w:rFonts w:ascii="Times New Roman" w:hAnsi="Times New Roman"/>
          <w:sz w:val="28"/>
          <w:szCs w:val="28"/>
        </w:rPr>
        <w:t xml:space="preserve">можно отразить, что денежные средства переданы застройщику в полном объеме. В графе </w:t>
      </w:r>
      <w:r>
        <w:rPr>
          <w:rFonts w:ascii="Times New Roman" w:hAnsi="Times New Roman"/>
          <w:b/>
          <w:sz w:val="28"/>
          <w:szCs w:val="28"/>
        </w:rPr>
        <w:t>"Сумма обязательства/размер обязательства по состоянию на отчетную дату (руб.)"</w:t>
      </w:r>
      <w:r>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pPr>
        <w:pStyle w:val="Normal"/>
        <w:ind w:firstLine="567"/>
        <w:rPr>
          <w:rFonts w:ascii="Times New Roman" w:hAnsi="Times New Roman"/>
          <w:sz w:val="28"/>
          <w:szCs w:val="28"/>
        </w:rPr>
      </w:pPr>
      <w:r>
        <w:rPr>
          <w:rFonts w:ascii="Times New Roman" w:hAnsi="Times New Roman"/>
          <w:sz w:val="28"/>
          <w:szCs w:val="28"/>
        </w:rPr>
        <w:t>Данный порядок применяется также в случае использования счетов эскроу.</w:t>
      </w:r>
    </w:p>
    <w:p>
      <w:pPr>
        <w:pStyle w:val="ListParagraph"/>
        <w:tabs>
          <w:tab w:val="clear" w:pos="709"/>
          <w:tab w:val="left" w:pos="0" w:leader="none"/>
          <w:tab w:val="left" w:pos="1418" w:leader="none"/>
        </w:tabs>
        <w:ind w:left="0" w:firstLine="567"/>
        <w:rPr>
          <w:rFonts w:ascii="Times New Roman" w:hAnsi="Times New Roman"/>
          <w:sz w:val="28"/>
          <w:szCs w:val="28"/>
        </w:rPr>
      </w:pPr>
      <w:r>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указывается полная стоимость.</w:t>
      </w:r>
    </w:p>
    <w:p>
      <w:pPr>
        <w:pStyle w:val="ListParagraph"/>
        <w:tabs>
          <w:tab w:val="clear" w:pos="709"/>
          <w:tab w:val="left" w:pos="0" w:leader="none"/>
          <w:tab w:val="left" w:pos="1418" w:leader="none"/>
        </w:tabs>
        <w:ind w:left="0" w:firstLine="567"/>
        <w:rPr>
          <w:rFonts w:ascii="Times New Roman" w:hAnsi="Times New Roman"/>
          <w:sz w:val="28"/>
          <w:szCs w:val="28"/>
        </w:rPr>
      </w:pPr>
      <w:r>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pPr>
        <w:pStyle w:val="Normal"/>
        <w:ind w:firstLine="567"/>
        <w:rPr>
          <w:rFonts w:ascii="Times New Roman" w:hAnsi="Times New Roman"/>
          <w:sz w:val="28"/>
          <w:szCs w:val="28"/>
        </w:rPr>
      </w:pPr>
      <w:r>
        <w:rPr>
          <w:rFonts w:ascii="Times New Roman" w:hAnsi="Times New Roman"/>
          <w:b/>
          <w:sz w:val="28"/>
          <w:szCs w:val="28"/>
        </w:rPr>
        <w:t>2) обязательства по ипотеке в случае разделения суммы кредита между супругами.</w:t>
      </w:r>
      <w:r>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pPr>
        <w:pStyle w:val="ListParagraph"/>
        <w:ind w:left="0" w:firstLine="567"/>
        <w:rPr>
          <w:rFonts w:ascii="Times New Roman" w:hAnsi="Times New Roman"/>
          <w:sz w:val="28"/>
          <w:szCs w:val="28"/>
        </w:rPr>
      </w:pPr>
      <w:r>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Pr>
          <w:rFonts w:ascii="Times New Roman" w:hAnsi="Times New Roman"/>
          <w:b/>
          <w:sz w:val="28"/>
          <w:szCs w:val="28"/>
        </w:rPr>
        <w:t>"Сумма обязательства/размер обязательства по состоянию на отчетную дату (руб.)"</w:t>
      </w:r>
      <w:r>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Pr>
          <w:rFonts w:ascii="Times New Roman" w:hAnsi="Times New Roman"/>
          <w:b/>
          <w:sz w:val="28"/>
          <w:szCs w:val="28"/>
        </w:rPr>
        <w:t>"Условие обязательства"</w:t>
      </w:r>
      <w:r>
        <w:rPr>
          <w:rFonts w:ascii="Times New Roman" w:hAnsi="Times New Roman"/>
          <w:sz w:val="28"/>
          <w:szCs w:val="28"/>
        </w:rPr>
        <w:t xml:space="preserve"> названного подраздела указать созаемщиков. </w:t>
      </w:r>
    </w:p>
    <w:p>
      <w:pPr>
        <w:pStyle w:val="Normal"/>
        <w:ind w:firstLine="567"/>
        <w:rPr>
          <w:rFonts w:ascii="Times New Roman" w:hAnsi="Times New Roman"/>
          <w:sz w:val="28"/>
          <w:szCs w:val="28"/>
        </w:rPr>
      </w:pPr>
      <w:r>
        <w:rPr>
          <w:rFonts w:ascii="Times New Roman" w:hAnsi="Times New Roman"/>
          <w:b/>
          <w:sz w:val="28"/>
          <w:szCs w:val="28"/>
        </w:rPr>
        <w:t>3) обязательства в соответствии с Законом Российской Федерации от 27 ноября 1992 г. № 4015-</w:t>
      </w:r>
      <w:r>
        <w:rPr>
          <w:rFonts w:ascii="Times New Roman" w:hAnsi="Times New Roman"/>
          <w:b/>
          <w:sz w:val="28"/>
          <w:szCs w:val="28"/>
          <w:lang w:val="en-US"/>
        </w:rPr>
        <w:t>I</w:t>
      </w:r>
      <w:r>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w:t>
      </w:r>
      <w:r>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pPr>
        <w:pStyle w:val="Normal"/>
        <w:ind w:firstLine="567"/>
        <w:rPr>
          <w:rFonts w:ascii="Times New Roman" w:hAnsi="Times New Roman"/>
          <w:sz w:val="28"/>
          <w:szCs w:val="28"/>
        </w:rPr>
      </w:pPr>
      <w:r>
        <w:rPr>
          <w:rFonts w:ascii="Times New Roman" w:hAnsi="Times New Roman"/>
          <w:sz w:val="28"/>
          <w:szCs w:val="28"/>
        </w:rPr>
        <w:t>Обязательства, возникающие исходя из условий договора страхования, по иным видам страхования (не поименованным в абзаце первом рассматриваемого подпункта) не подлежат отражению в подразделе 6.2 раздела 6 справки.</w:t>
      </w:r>
    </w:p>
    <w:p>
      <w:pPr>
        <w:pStyle w:val="Normal"/>
        <w:ind w:firstLine="567"/>
        <w:rPr>
          <w:rFonts w:ascii="Times New Roman" w:hAnsi="Times New Roman"/>
          <w:sz w:val="28"/>
          <w:szCs w:val="28"/>
        </w:rPr>
      </w:pPr>
      <w:r>
        <w:rPr>
          <w:rFonts w:ascii="Times New Roman" w:hAnsi="Times New Roman"/>
          <w:sz w:val="28"/>
          <w:szCs w:val="28"/>
        </w:rPr>
        <w:t>До исполнения страховщиком обязательств по договору страхования в полном объеме информация об имеющихся на отчетную дату обязательствах страховщика по договору страхования также подлежит отражению в данном подразделе.</w:t>
      </w:r>
    </w:p>
    <w:p>
      <w:pPr>
        <w:pStyle w:val="Normal"/>
        <w:ind w:firstLine="567"/>
        <w:rPr>
          <w:rFonts w:ascii="Times New Roman" w:hAnsi="Times New Roman"/>
          <w:sz w:val="28"/>
          <w:szCs w:val="28"/>
        </w:rPr>
      </w:pPr>
      <w:r>
        <w:rPr>
          <w:rFonts w:ascii="Times New Roman" w:hAnsi="Times New Roman"/>
          <w:sz w:val="28"/>
          <w:szCs w:val="28"/>
        </w:rPr>
        <w:t xml:space="preserve">Справку рекомендуется заполнять с учетом сведений, полученных </w:t>
        <w:br/>
        <w:t xml:space="preserve">от страховщика в рамках Указания Банка России № 5798-У. </w:t>
      </w:r>
    </w:p>
    <w:p>
      <w:pPr>
        <w:pStyle w:val="Normal"/>
        <w:ind w:firstLine="567"/>
        <w:rPr>
          <w:rFonts w:ascii="Times New Roman" w:hAnsi="Times New Roman"/>
          <w:sz w:val="28"/>
          <w:szCs w:val="28"/>
        </w:rPr>
      </w:pPr>
      <w:r>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pPr>
        <w:pStyle w:val="Normal"/>
        <w:ind w:firstLine="567"/>
        <w:rPr>
          <w:rFonts w:ascii="Times New Roman" w:hAnsi="Times New Roman"/>
          <w:sz w:val="28"/>
          <w:szCs w:val="28"/>
        </w:rPr>
      </w:pPr>
      <w:r>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Pr>
          <w:rFonts w:ascii="Times New Roman" w:hAnsi="Times New Roman"/>
          <w:sz w:val="28"/>
          <w:szCs w:val="28"/>
          <w:lang w:val="en-US"/>
        </w:rPr>
        <w:t>I</w:t>
      </w:r>
      <w:r>
        <w:rPr>
          <w:rFonts w:ascii="Times New Roman" w:hAnsi="Times New Roman"/>
          <w:sz w:val="28"/>
          <w:szCs w:val="28"/>
        </w:rPr>
        <w:t xml:space="preserve"> "Об организации страхового дела в Российской Федерации". </w:t>
      </w:r>
    </w:p>
    <w:p>
      <w:pPr>
        <w:pStyle w:val="Normal"/>
        <w:ind w:firstLine="567"/>
        <w:rPr>
          <w:rFonts w:ascii="Times New Roman" w:hAnsi="Times New Roman"/>
          <w:sz w:val="28"/>
          <w:szCs w:val="28"/>
        </w:rPr>
      </w:pPr>
      <w:r>
        <w:rPr>
          <w:rFonts w:ascii="Times New Roman" w:hAnsi="Times New Roman"/>
          <w:sz w:val="28"/>
          <w:szCs w:val="28"/>
        </w:rPr>
        <w:t xml:space="preserve">Не относятся к обязательствам в соответствии с Законом Российской Федерации от 27 ноября 1992 г. № 4015-I "Об организации страхового дела в Российской Федерации" и не подлежит отражению договор негосударственного пенсионного обеспечения, заключенный с негосударственным пенсионным фондом. </w:t>
      </w:r>
    </w:p>
    <w:p>
      <w:pPr>
        <w:pStyle w:val="Normal"/>
        <w:ind w:firstLine="567"/>
        <w:rPr>
          <w:rFonts w:ascii="Times New Roman" w:hAnsi="Times New Roman"/>
          <w:sz w:val="28"/>
          <w:szCs w:val="28"/>
        </w:rPr>
      </w:pPr>
      <w:r>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pPr>
        <w:pStyle w:val="Normal"/>
        <w:ind w:firstLine="567"/>
        <w:rPr>
          <w:rFonts w:ascii="Times New Roman" w:hAnsi="Times New Roman"/>
          <w:sz w:val="28"/>
          <w:szCs w:val="28"/>
        </w:rPr>
      </w:pPr>
      <w:r>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w:t>
      </w:r>
      <w:r>
        <w:rPr>
          <w:rFonts w:eastAsia="Times New Roman" w:ascii="Times New Roman" w:hAnsi="Times New Roman"/>
          <w:sz w:val="28"/>
          <w:szCs w:val="28"/>
          <w:lang w:eastAsia="ru-RU"/>
        </w:rPr>
        <w:t xml:space="preserve">(с учетом положений </w:t>
      </w:r>
      <w:r>
        <w:rPr>
          <w:rFonts w:ascii="Times New Roman" w:hAnsi="Times New Roman"/>
          <w:sz w:val="28"/>
        </w:rPr>
        <w:t xml:space="preserve">пункта </w:t>
      </w:r>
      <w:r>
        <w:rPr>
          <w:rFonts w:eastAsia="Times New Roman" w:ascii="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eastAsia="Times New Roman" w:ascii="Times New Roman" w:hAnsi="Times New Roman"/>
          <w:sz w:val="28"/>
          <w:szCs w:val="28"/>
          <w:lang w:eastAsia="ru-RU"/>
        </w:rPr>
        <w:t>)</w:t>
      </w:r>
      <w:r>
        <w:rPr>
          <w:rFonts w:ascii="Times New Roman" w:hAnsi="Times New Roman"/>
          <w:sz w:val="28"/>
          <w:szCs w:val="28"/>
        </w:rPr>
        <w:t>.</w:t>
      </w:r>
    </w:p>
    <w:p>
      <w:pPr>
        <w:pStyle w:val="Normal"/>
        <w:ind w:hanging="0"/>
        <w:jc w:val="center"/>
        <w:rPr>
          <w:rFonts w:ascii="Times New Roman" w:hAnsi="Times New Roman"/>
          <w:b/>
          <w:sz w:val="28"/>
          <w:szCs w:val="28"/>
        </w:rPr>
      </w:pPr>
      <w:r>
        <w:rPr>
          <w:rFonts w:ascii="Times New Roman" w:hAnsi="Times New Roman"/>
          <w:b/>
          <w:sz w:val="28"/>
          <w:szCs w:val="28"/>
        </w:rPr>
      </w:r>
    </w:p>
    <w:p>
      <w:pPr>
        <w:pStyle w:val="Normal"/>
        <w:ind w:hanging="0"/>
        <w:jc w:val="center"/>
        <w:rPr>
          <w:rFonts w:ascii="Times New Roman" w:hAnsi="Times New Roman"/>
          <w:b/>
          <w:sz w:val="28"/>
          <w:szCs w:val="28"/>
        </w:rPr>
      </w:pPr>
      <w:r>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pPr>
        <w:pStyle w:val="Normal"/>
        <w:ind w:firstLine="851"/>
        <w:jc w:val="center"/>
        <w:rPr>
          <w:rFonts w:ascii="Times New Roman" w:hAnsi="Times New Roman"/>
          <w:sz w:val="28"/>
          <w:szCs w:val="28"/>
        </w:rPr>
      </w:pPr>
      <w:r>
        <w:rPr>
          <w:rFonts w:ascii="Times New Roman" w:hAnsi="Times New Roman"/>
          <w:sz w:val="28"/>
          <w:szCs w:val="28"/>
        </w:rPr>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pPr>
        <w:pStyle w:val="ListParagraph"/>
        <w:widowControl w:val="false"/>
        <w:ind w:left="0" w:firstLine="567"/>
        <w:rPr>
          <w:rFonts w:ascii="Times New Roman" w:hAnsi="Times New Roman"/>
          <w:sz w:val="28"/>
          <w:szCs w:val="28"/>
        </w:rPr>
      </w:pPr>
      <w:r>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Уничтоженные объекты имущества не подлежат отражению в данном разделе справки.</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Договор мены не подлежит отражению в данном разделе справки, так как он является возмездным.</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Каждый объект безвозмездной сделки указывается отдельно.</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строках </w:t>
      </w:r>
      <w:r>
        <w:rPr>
          <w:rFonts w:ascii="Times New Roman" w:hAnsi="Times New Roman"/>
          <w:b/>
          <w:sz w:val="28"/>
        </w:rPr>
        <w:t>"Земельные участки"</w:t>
      </w:r>
      <w:r>
        <w:rPr>
          <w:rFonts w:ascii="Times New Roman" w:hAnsi="Times New Roman"/>
          <w:sz w:val="28"/>
          <w:szCs w:val="28"/>
        </w:rPr>
        <w:t xml:space="preserve"> и </w:t>
      </w:r>
      <w:r>
        <w:rPr>
          <w:rFonts w:ascii="Times New Roman" w:hAnsi="Times New Roman"/>
          <w:b/>
          <w:sz w:val="28"/>
        </w:rPr>
        <w:t>"Иное недвижимое имущество"</w:t>
      </w:r>
      <w:r>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Pr>
          <w:rFonts w:ascii="Times New Roman" w:hAnsi="Times New Roman"/>
          <w:sz w:val="28"/>
        </w:rPr>
        <w:t xml:space="preserve">пунктом </w:t>
      </w:r>
      <w:r>
        <w:rPr>
          <w:rFonts w:ascii="Times New Roman" w:hAnsi="Times New Roman"/>
          <w:sz w:val="28"/>
          <w:szCs w:val="28"/>
        </w:rPr>
        <w:t>109</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местонахождение (адрес) в соответствии с </w:t>
      </w:r>
      <w:r>
        <w:rPr>
          <w:rFonts w:ascii="Times New Roman" w:hAnsi="Times New Roman"/>
          <w:sz w:val="28"/>
        </w:rPr>
        <w:t xml:space="preserve">пунктами </w:t>
      </w:r>
      <w:r>
        <w:rPr>
          <w:rFonts w:ascii="Times New Roman" w:hAnsi="Times New Roman"/>
          <w:sz w:val="28"/>
          <w:szCs w:val="28"/>
        </w:rPr>
        <w:t>117</w:t>
      </w:r>
      <w:r>
        <w:rPr>
          <w:rFonts w:ascii="Times New Roman" w:hAnsi="Times New Roman"/>
          <w:sz w:val="28"/>
        </w:rPr>
        <w:t xml:space="preserve"> и </w:t>
      </w:r>
      <w:r>
        <w:rPr>
          <w:rFonts w:ascii="Times New Roman" w:hAnsi="Times New Roman"/>
          <w:sz w:val="28"/>
          <w:szCs w:val="28"/>
        </w:rPr>
        <w:t>118</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площадь (кв. м) в соответствии с </w:t>
      </w:r>
      <w:r>
        <w:rPr>
          <w:rFonts w:ascii="Times New Roman" w:hAnsi="Times New Roman"/>
          <w:sz w:val="28"/>
        </w:rPr>
        <w:t xml:space="preserve">пунктом </w:t>
      </w:r>
      <w:r>
        <w:rPr>
          <w:rFonts w:ascii="Times New Roman" w:hAnsi="Times New Roman"/>
          <w:sz w:val="28"/>
          <w:szCs w:val="28"/>
        </w:rPr>
        <w:t>119</w:t>
      </w:r>
      <w:r>
        <w:rPr>
          <w:rFonts w:ascii="Times New Roman" w:hAnsi="Times New Roman"/>
          <w:sz w:val="28"/>
        </w:rPr>
        <w:t xml:space="preserve"> настоящих Методических рекомендаций</w:t>
      </w:r>
      <w:r>
        <w:rPr>
          <w:rFonts w:ascii="Times New Roman" w:hAnsi="Times New Roman"/>
          <w:sz w:val="28"/>
          <w:szCs w:val="28"/>
        </w:rPr>
        <w:t>.</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"Транспортные средства"</w:t>
      </w:r>
      <w:r>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"Ценные бумаги"</w:t>
      </w:r>
      <w:r>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w:t>
      </w:r>
      <w:r>
        <w:rPr>
          <w:rFonts w:eastAsia="Times New Roman" w:ascii="Times New Roman" w:hAnsi="Times New Roman"/>
          <w:sz w:val="28"/>
          <w:szCs w:val="28"/>
          <w:lang w:eastAsia="ru-RU"/>
        </w:rPr>
        <w:t xml:space="preserve">(с учетом положений </w:t>
      </w:r>
      <w:r>
        <w:rPr>
          <w:rFonts w:ascii="Times New Roman" w:hAnsi="Times New Roman"/>
          <w:sz w:val="28"/>
        </w:rPr>
        <w:t xml:space="preserve">пункта </w:t>
      </w:r>
      <w:r>
        <w:rPr>
          <w:rFonts w:eastAsia="Times New Roman" w:ascii="Times New Roman" w:hAnsi="Times New Roman"/>
          <w:sz w:val="28"/>
          <w:szCs w:val="28"/>
          <w:lang w:eastAsia="ru-RU"/>
        </w:rPr>
        <w:t>54</w:t>
      </w:r>
      <w:r>
        <w:rPr>
          <w:rFonts w:ascii="Times New Roman" w:hAnsi="Times New Roman"/>
          <w:sz w:val="28"/>
        </w:rPr>
        <w:t xml:space="preserve"> настоящих Методических рекомендаций</w:t>
      </w:r>
      <w:r>
        <w:rPr>
          <w:rFonts w:eastAsia="Times New Roman" w:ascii="Times New Roman" w:hAnsi="Times New Roman"/>
          <w:sz w:val="28"/>
          <w:szCs w:val="28"/>
          <w:lang w:eastAsia="ru-RU"/>
        </w:rPr>
        <w:t>)</w:t>
      </w:r>
      <w:r>
        <w:rPr>
          <w:rFonts w:ascii="Times New Roman" w:hAnsi="Times New Roman"/>
          <w:sz w:val="28"/>
          <w:szCs w:val="28"/>
        </w:rPr>
        <w:t xml:space="preserve">. </w:t>
      </w:r>
    </w:p>
    <w:p>
      <w:pPr>
        <w:pStyle w:val="ListParagraph"/>
        <w:widowControl w:val="false"/>
        <w:ind w:left="0" w:firstLine="567"/>
        <w:rPr>
          <w:rFonts w:ascii="Times New Roman" w:hAnsi="Times New Roman"/>
          <w:sz w:val="28"/>
          <w:szCs w:val="28"/>
        </w:rPr>
      </w:pPr>
      <w:r>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Pr>
          <w:rFonts w:ascii="Times New Roman" w:hAnsi="Times New Roman"/>
          <w:sz w:val="28"/>
        </w:rPr>
        <w:t xml:space="preserve">пунктом </w:t>
      </w:r>
      <w:r>
        <w:rPr>
          <w:rFonts w:ascii="Times New Roman" w:hAnsi="Times New Roman"/>
          <w:sz w:val="28"/>
          <w:szCs w:val="28"/>
        </w:rPr>
        <w:t>178</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местонахождение организации (адрес) в соответствии с </w:t>
      </w:r>
      <w:r>
        <w:rPr>
          <w:rFonts w:ascii="Times New Roman" w:hAnsi="Times New Roman"/>
          <w:sz w:val="28"/>
        </w:rPr>
        <w:t xml:space="preserve">пунктом </w:t>
      </w:r>
      <w:r>
        <w:rPr>
          <w:rFonts w:ascii="Times New Roman" w:hAnsi="Times New Roman"/>
          <w:sz w:val="28"/>
          <w:szCs w:val="28"/>
        </w:rPr>
        <w:t>179</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уставный капитал в соответствии с </w:t>
      </w:r>
      <w:r>
        <w:rPr>
          <w:rFonts w:ascii="Times New Roman" w:hAnsi="Times New Roman"/>
          <w:sz w:val="28"/>
        </w:rPr>
        <w:t xml:space="preserve">пунктом </w:t>
      </w:r>
      <w:r>
        <w:rPr>
          <w:rFonts w:ascii="Times New Roman" w:hAnsi="Times New Roman"/>
          <w:sz w:val="28"/>
          <w:szCs w:val="28"/>
        </w:rPr>
        <w:t>180</w:t>
      </w:r>
      <w:r>
        <w:rPr>
          <w:rFonts w:ascii="Times New Roman" w:hAnsi="Times New Roman"/>
          <w:sz w:val="28"/>
        </w:rPr>
        <w:t xml:space="preserve"> настоящих Методических рекомендаций</w:t>
      </w:r>
      <w:r>
        <w:rPr>
          <w:rFonts w:ascii="Times New Roman" w:hAnsi="Times New Roman"/>
          <w:sz w:val="28"/>
          <w:szCs w:val="28"/>
        </w:rPr>
        <w:t xml:space="preserve">, доли участия в соответствии с </w:t>
      </w:r>
      <w:r>
        <w:rPr>
          <w:rFonts w:ascii="Times New Roman" w:hAnsi="Times New Roman"/>
          <w:sz w:val="28"/>
        </w:rPr>
        <w:t xml:space="preserve">пунктом </w:t>
      </w:r>
      <w:r>
        <w:rPr>
          <w:rFonts w:ascii="Times New Roman" w:hAnsi="Times New Roman"/>
          <w:sz w:val="28"/>
          <w:szCs w:val="28"/>
        </w:rPr>
        <w:t>181</w:t>
      </w:r>
      <w:r>
        <w:rPr>
          <w:rFonts w:ascii="Times New Roman" w:hAnsi="Times New Roman"/>
          <w:sz w:val="28"/>
        </w:rPr>
        <w:t xml:space="preserve"> настоящих Методических рекомендаций</w:t>
      </w:r>
      <w:r>
        <w:rPr>
          <w:rFonts w:ascii="Times New Roman" w:hAnsi="Times New Roman"/>
          <w:sz w:val="28"/>
          <w:szCs w:val="28"/>
        </w:rPr>
        <w:t>.</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"Цифровые финансовые активы"</w:t>
      </w:r>
      <w:r>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"Цифровые права, включающие одновременно цифровые финансовые активы и иные цифровые права"</w:t>
      </w:r>
      <w:r>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"Утилитарные цифровые права"</w:t>
      </w:r>
      <w:r>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"Цифровая валюта"</w:t>
      </w:r>
      <w:r>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pPr>
        <w:pStyle w:val="ListParagraph"/>
        <w:widowControl w:val="false"/>
        <w:numPr>
          <w:ilvl w:val="0"/>
          <w:numId w:val="1"/>
        </w:numPr>
        <w:ind w:left="0" w:firstLine="567"/>
        <w:rPr>
          <w:rFonts w:ascii="Times New Roman" w:hAnsi="Times New Roman"/>
          <w:sz w:val="28"/>
          <w:szCs w:val="28"/>
        </w:rPr>
      </w:pPr>
      <w:r>
        <w:rPr>
          <w:rFonts w:ascii="Times New Roman" w:hAnsi="Times New Roman"/>
          <w:bCs/>
          <w:sz w:val="28"/>
          <w:szCs w:val="28"/>
        </w:rPr>
        <w:t xml:space="preserve">В графе </w:t>
      </w:r>
      <w:r>
        <w:rPr>
          <w:rFonts w:ascii="Times New Roman" w:hAnsi="Times New Roman"/>
          <w:b/>
          <w:sz w:val="28"/>
        </w:rPr>
        <w:t>"Приобретатель имущества</w:t>
      </w:r>
      <w:r>
        <w:rPr>
          <w:rFonts w:ascii="Times New Roman" w:hAnsi="Times New Roman"/>
          <w:b/>
          <w:bCs/>
          <w:sz w:val="28"/>
          <w:szCs w:val="28"/>
        </w:rPr>
        <w:t xml:space="preserve"> (права)</w:t>
      </w:r>
      <w:r>
        <w:rPr>
          <w:rFonts w:ascii="Times New Roman" w:hAnsi="Times New Roman"/>
          <w:b/>
          <w:sz w:val="28"/>
        </w:rPr>
        <w:t xml:space="preserve"> по сделке"</w:t>
      </w:r>
      <w:r>
        <w:rPr>
          <w:rFonts w:ascii="Times New Roman" w:hAnsi="Times New Roman"/>
          <w:bCs/>
          <w:sz w:val="28"/>
          <w:szCs w:val="28"/>
        </w:rPr>
        <w:t xml:space="preserve"> в случае безвозмездной сделки с физическим лицом указываются </w:t>
      </w:r>
      <w:r>
        <w:rPr>
          <w:rFonts w:ascii="Times New Roman" w:hAnsi="Times New Roman"/>
          <w:sz w:val="28"/>
          <w:szCs w:val="28"/>
        </w:rPr>
        <w:t>его</w:t>
      </w:r>
      <w:r>
        <w:rPr>
          <w:rFonts w:ascii="Times New Roman" w:hAnsi="Times New Roman"/>
          <w:bCs/>
          <w:sz w:val="28"/>
          <w:szCs w:val="28"/>
        </w:rPr>
        <w:t xml:space="preserve"> </w:t>
      </w:r>
      <w:r>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Pr>
          <w:rStyle w:val="Style13"/>
          <w:rFonts w:cs="Times New Roman" w:ascii="Times New Roman" w:hAnsi="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pPr>
        <w:pStyle w:val="ListParagraph"/>
        <w:widowControl w:val="false"/>
        <w:ind w:left="0" w:firstLine="567"/>
        <w:rPr>
          <w:rStyle w:val="Style13"/>
          <w:rFonts w:ascii="Times New Roman" w:hAnsi="Times New Roman" w:cs="Times New Roman"/>
          <w:sz w:val="28"/>
          <w:szCs w:val="28"/>
          <w:shd w:fill="auto" w:val="clear"/>
        </w:rPr>
      </w:pPr>
      <w:r>
        <w:rPr>
          <w:rStyle w:val="Style13"/>
          <w:rFonts w:cs="Times New Roman" w:ascii="Times New Roman" w:hAnsi="Times New Roman"/>
          <w:sz w:val="28"/>
          <w:szCs w:val="28"/>
          <w:shd w:fill="auto" w:val="clear"/>
        </w:rPr>
        <w:t>В случае безвозмездной сделки с юридическим лицом в данной графе указываются н</w:t>
      </w:r>
      <w:r>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pPr>
        <w:pStyle w:val="ListParagraph"/>
        <w:widowControl w:val="false"/>
        <w:numPr>
          <w:ilvl w:val="0"/>
          <w:numId w:val="1"/>
        </w:numPr>
        <w:ind w:left="0" w:firstLine="567"/>
        <w:rPr>
          <w:rStyle w:val="Style13"/>
          <w:rFonts w:ascii="Times New Roman" w:hAnsi="Times New Roman" w:cs="Times New Roman"/>
          <w:b/>
          <w:sz w:val="28"/>
          <w:szCs w:val="28"/>
          <w:shd w:fill="auto" w:val="clear"/>
        </w:rPr>
      </w:pPr>
      <w:r>
        <w:rPr>
          <w:rStyle w:val="Style13"/>
          <w:rFonts w:cs="Times New Roman" w:ascii="Times New Roman" w:hAnsi="Times New Roman"/>
          <w:sz w:val="28"/>
          <w:szCs w:val="28"/>
          <w:shd w:fill="auto" w:val="clear"/>
        </w:rPr>
        <w:t xml:space="preserve">В графе </w:t>
      </w:r>
      <w:r>
        <w:rPr>
          <w:rStyle w:val="Style13"/>
          <w:rFonts w:ascii="Times New Roman" w:hAnsi="Times New Roman"/>
          <w:b/>
          <w:sz w:val="28"/>
          <w:shd w:fill="auto" w:val="clear"/>
        </w:rPr>
        <w:t>"Основание отчуждения имущества</w:t>
      </w:r>
      <w:r>
        <w:rPr>
          <w:rStyle w:val="Style13"/>
          <w:rFonts w:cs="Times New Roman" w:ascii="Times New Roman" w:hAnsi="Times New Roman"/>
          <w:b/>
          <w:sz w:val="28"/>
          <w:szCs w:val="28"/>
          <w:shd w:fill="auto" w:val="clear"/>
        </w:rPr>
        <w:t xml:space="preserve"> (права)"</w:t>
      </w:r>
      <w:r>
        <w:rPr>
          <w:rStyle w:val="Style13"/>
          <w:rFonts w:cs="Times New Roman" w:ascii="Times New Roman" w:hAnsi="Times New Roman"/>
          <w:sz w:val="28"/>
          <w:szCs w:val="28"/>
          <w:shd w:fill="auto" w:val="clear"/>
        </w:rPr>
        <w:t xml:space="preserve"> указываются основания прекращения права собственности (наименование и реквизиты (дата, номер) соответствующего договора или акта).</w:t>
      </w:r>
      <w:r>
        <w:rPr>
          <w:rFonts w:ascii="Times New Roman" w:hAnsi="Times New Roman"/>
          <w:sz w:val="28"/>
          <w:szCs w:val="28"/>
        </w:rPr>
        <w:t xml:space="preserve"> </w:t>
      </w:r>
      <w:r>
        <w:rPr>
          <w:rStyle w:val="Style13"/>
          <w:rFonts w:cs="Times New Roman" w:ascii="Times New Roman" w:hAnsi="Times New Roman"/>
          <w:sz w:val="28"/>
          <w:szCs w:val="28"/>
          <w:shd w:fill="auto" w:val="clear"/>
        </w:rPr>
        <w:t>Для цифровых финансовых активов, цифровых прав и цифровой валюты также указывается дата их отчуждения.</w:t>
      </w:r>
    </w:p>
    <w:p>
      <w:pPr>
        <w:pStyle w:val="ListParagraph"/>
        <w:widowControl w:val="false"/>
        <w:ind w:left="567" w:hanging="0"/>
        <w:rPr>
          <w:rStyle w:val="Style13"/>
          <w:rFonts w:ascii="Times New Roman" w:hAnsi="Times New Roman" w:cs="Times New Roman"/>
          <w:b/>
          <w:sz w:val="28"/>
          <w:szCs w:val="28"/>
          <w:shd w:fill="auto" w:val="clear"/>
        </w:rPr>
      </w:pPr>
      <w:r>
        <w:rPr>
          <w:rFonts w:cs="Times New Roman" w:ascii="Times New Roman" w:hAnsi="Times New Roman"/>
          <w:b/>
          <w:sz w:val="28"/>
          <w:szCs w:val="28"/>
          <w:shd w:fill="auto" w:val="clear"/>
        </w:rPr>
      </w:r>
    </w:p>
    <w:p>
      <w:pPr>
        <w:pStyle w:val="ListParagraph"/>
        <w:ind w:left="0" w:firstLine="709"/>
        <w:jc w:val="center"/>
        <w:rPr>
          <w:rStyle w:val="Style13"/>
          <w:rFonts w:ascii="Times New Roman" w:hAnsi="Times New Roman" w:eastAsia="Times New Roman" w:cs="Times New Roman"/>
          <w:sz w:val="20"/>
          <w:szCs w:val="20"/>
          <w:shd w:fill="auto" w:val="clear"/>
        </w:rPr>
      </w:pPr>
      <w:r>
        <w:rPr>
          <w:rFonts w:eastAsia="Times New Roman" w:cs="Times New Roman" w:ascii="Times New Roman" w:hAnsi="Times New Roman"/>
          <w:sz w:val="20"/>
          <w:szCs w:val="20"/>
          <w:shd w:fill="auto" w:val="clear"/>
        </w:rPr>
      </w:r>
    </w:p>
    <w:sectPr>
      <w:headerReference w:type="default" r:id="rId32"/>
      <w:type w:val="nextPage"/>
      <w:pgSz w:w="11906" w:h="16838"/>
      <w:pgMar w:left="1134" w:right="567" w:gutter="0" w:header="454"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Arial">
    <w:charset w:val="01"/>
    <w:family w:val="roman"/>
    <w:pitch w:val="default"/>
  </w:font>
  <w:font w:name="Times New Roman">
    <w:charset w:val="01"/>
    <w:family w:val="roman"/>
    <w:pitch w:val="default"/>
  </w:font>
  <w:font w:name="Tahoma">
    <w:charset w:val="01"/>
    <w:family w:val="roman"/>
    <w:pitch w:val="default"/>
  </w:font>
  <w:font w:name="PT Astra Serif">
    <w:charset w:val="01"/>
    <w:family w:val="roman"/>
    <w:pitch w:val="default"/>
  </w:font>
  <w:font w:name="Courier New">
    <w:charset w:val="01"/>
    <w:family w:val="roman"/>
    <w:pitch w:val="default"/>
  </w:font>
  <w:font w:name="Segoe UI Symbol">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2"/>
      <w:jc w:val="center"/>
      <w:rPr>
        <w:rFonts w:ascii="Times New Roman" w:hAnsi="Times New Roman" w:eastAsia="Times New Roman"/>
        <w:sz w:val="28"/>
      </w:rPr>
    </w:pPr>
    <w:r>
      <w:rPr>
        <w:rFonts w:eastAsia="Times New Roman" w:ascii="Times New Roman" w:hAnsi="Times New Roman"/>
        <w:sz w:val="28"/>
      </w:rPr>
      <w:fldChar w:fldCharType="begin"/>
    </w:r>
    <w:r>
      <w:rPr>
        <w:sz w:val="28"/>
        <w:rFonts w:eastAsia="Times New Roman" w:ascii="Times New Roman" w:hAnsi="Times New Roman"/>
      </w:rPr>
      <w:instrText xml:space="preserve"> PAGE </w:instrText>
    </w:r>
    <w:r>
      <w:rPr>
        <w:sz w:val="28"/>
        <w:rFonts w:eastAsia="Times New Roman" w:ascii="Times New Roman" w:hAnsi="Times New Roman"/>
      </w:rPr>
      <w:fldChar w:fldCharType="separate"/>
    </w:r>
    <w:r>
      <w:rPr>
        <w:sz w:val="28"/>
        <w:rFonts w:eastAsia="Times New Roman" w:ascii="Times New Roman" w:hAnsi="Times New Roman"/>
      </w:rPr>
      <w:t>71</w:t>
    </w:r>
    <w:r>
      <w:rPr>
        <w:sz w:val="28"/>
        <w:rFonts w:eastAsia="Times New Roman" w:ascii="Times New Roman" w:hAnsi="Times New Roman"/>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center"/>
      <w:pPr>
        <w:tabs>
          <w:tab w:val="num" w:pos="0"/>
        </w:tabs>
        <w:ind w:left="2422" w:hanging="720"/>
      </w:pPr>
      <w:rPr>
        <w:sz w:val="28"/>
        <w:b w:val="false"/>
        <w:szCs w:val="28"/>
        <w:color w:val="auto"/>
      </w:rPr>
    </w:lvl>
    <w:lvl w:ilvl="1">
      <w:start w:val="1"/>
      <w:numFmt w:val="decimal"/>
      <w:lvlText w:val="%2)"/>
      <w:lvlJc w:val="left"/>
      <w:pPr>
        <w:tabs>
          <w:tab w:val="num" w:pos="0"/>
        </w:tabs>
        <w:ind w:left="2858" w:hanging="360"/>
      </w:pPr>
      <w:rPr/>
    </w:lvl>
    <w:lvl w:ilvl="2">
      <w:start w:val="1"/>
      <w:numFmt w:val="lowerRoman"/>
      <w:lvlText w:val="%3."/>
      <w:lvlJc w:val="right"/>
      <w:pPr>
        <w:tabs>
          <w:tab w:val="num" w:pos="0"/>
        </w:tabs>
        <w:ind w:left="3578" w:hanging="180"/>
      </w:pPr>
      <w:rPr/>
    </w:lvl>
    <w:lvl w:ilvl="3">
      <w:start w:val="1"/>
      <w:numFmt w:val="decimal"/>
      <w:lvlText w:val="%4."/>
      <w:lvlJc w:val="left"/>
      <w:pPr>
        <w:tabs>
          <w:tab w:val="num" w:pos="0"/>
        </w:tabs>
        <w:ind w:left="4298" w:hanging="360"/>
      </w:pPr>
      <w:rPr/>
    </w:lvl>
    <w:lvl w:ilvl="4">
      <w:start w:val="1"/>
      <w:numFmt w:val="lowerLetter"/>
      <w:lvlText w:val="%5."/>
      <w:lvlJc w:val="left"/>
      <w:pPr>
        <w:tabs>
          <w:tab w:val="num" w:pos="0"/>
        </w:tabs>
        <w:ind w:left="5018" w:hanging="360"/>
      </w:pPr>
      <w:rPr/>
    </w:lvl>
    <w:lvl w:ilvl="5">
      <w:start w:val="1"/>
      <w:numFmt w:val="lowerRoman"/>
      <w:lvlText w:val="%6."/>
      <w:lvlJc w:val="right"/>
      <w:pPr>
        <w:tabs>
          <w:tab w:val="num" w:pos="0"/>
        </w:tabs>
        <w:ind w:left="5738" w:hanging="180"/>
      </w:pPr>
      <w:rPr/>
    </w:lvl>
    <w:lvl w:ilvl="6">
      <w:start w:val="1"/>
      <w:numFmt w:val="decimal"/>
      <w:lvlText w:val="%7."/>
      <w:lvlJc w:val="left"/>
      <w:pPr>
        <w:tabs>
          <w:tab w:val="num" w:pos="0"/>
        </w:tabs>
        <w:ind w:left="6458" w:hanging="360"/>
      </w:pPr>
      <w:rPr/>
    </w:lvl>
    <w:lvl w:ilvl="7">
      <w:start w:val="1"/>
      <w:numFmt w:val="lowerLetter"/>
      <w:lvlText w:val="%8."/>
      <w:lvlJc w:val="left"/>
      <w:pPr>
        <w:tabs>
          <w:tab w:val="num" w:pos="0"/>
        </w:tabs>
        <w:ind w:left="7178" w:hanging="360"/>
      </w:pPr>
      <w:rPr/>
    </w:lvl>
    <w:lvl w:ilvl="8">
      <w:start w:val="1"/>
      <w:numFmt w:val="lowerRoman"/>
      <w:lvlText w:val="%9."/>
      <w:lvlJc w:val="right"/>
      <w:pPr>
        <w:tabs>
          <w:tab w:val="num" w:pos="0"/>
        </w:tabs>
        <w:ind w:left="7898" w:hanging="180"/>
      </w:pPr>
      <w:rPr/>
    </w:lvl>
  </w:abstractNum>
  <w:abstractNum w:abstractNumId="2">
    <w:lvl w:ilvl="0">
      <w:start w:val="1"/>
      <w:numFmt w:val="decimal"/>
      <w:lvlText w:val="%1)"/>
      <w:lvlJc w:val="left"/>
      <w:pPr>
        <w:tabs>
          <w:tab w:val="num" w:pos="0"/>
        </w:tabs>
        <w:ind w:left="1070" w:hanging="360"/>
      </w:pPr>
      <w:rPr>
        <w:sz w:val="28"/>
        <w:b w:val="false"/>
        <w:szCs w:val="28"/>
        <w:rFonts w:ascii="Times New Roman" w:hAnsi="Times New Roman" w:cs="Times New Roman"/>
      </w:rPr>
    </w:lvl>
    <w:lvl w:ilvl="1">
      <w:start w:val="1"/>
      <w:numFmt w:val="lowerLetter"/>
      <w:lvlText w:val="%2."/>
      <w:lvlJc w:val="left"/>
      <w:pPr>
        <w:tabs>
          <w:tab w:val="num" w:pos="0"/>
        </w:tabs>
        <w:ind w:left="2291" w:hanging="360"/>
      </w:pPr>
      <w:rPr/>
    </w:lvl>
    <w:lvl w:ilvl="2">
      <w:start w:val="1"/>
      <w:numFmt w:val="lowerRoman"/>
      <w:lvlText w:val="%3."/>
      <w:lvlJc w:val="right"/>
      <w:pPr>
        <w:tabs>
          <w:tab w:val="num" w:pos="0"/>
        </w:tabs>
        <w:ind w:left="3011" w:hanging="180"/>
      </w:pPr>
      <w:rPr/>
    </w:lvl>
    <w:lvl w:ilvl="3">
      <w:start w:val="1"/>
      <w:numFmt w:val="decimal"/>
      <w:lvlText w:val="%4."/>
      <w:lvlJc w:val="left"/>
      <w:pPr>
        <w:tabs>
          <w:tab w:val="num" w:pos="0"/>
        </w:tabs>
        <w:ind w:left="3731" w:hanging="360"/>
      </w:pPr>
      <w:rPr/>
    </w:lvl>
    <w:lvl w:ilvl="4">
      <w:start w:val="1"/>
      <w:numFmt w:val="lowerLetter"/>
      <w:lvlText w:val="%5."/>
      <w:lvlJc w:val="left"/>
      <w:pPr>
        <w:tabs>
          <w:tab w:val="num" w:pos="0"/>
        </w:tabs>
        <w:ind w:left="4451" w:hanging="360"/>
      </w:pPr>
      <w:rPr/>
    </w:lvl>
    <w:lvl w:ilvl="5">
      <w:start w:val="1"/>
      <w:numFmt w:val="lowerRoman"/>
      <w:lvlText w:val="%6."/>
      <w:lvlJc w:val="right"/>
      <w:pPr>
        <w:tabs>
          <w:tab w:val="num" w:pos="0"/>
        </w:tabs>
        <w:ind w:left="5171" w:hanging="180"/>
      </w:pPr>
      <w:rPr/>
    </w:lvl>
    <w:lvl w:ilvl="6">
      <w:start w:val="1"/>
      <w:numFmt w:val="decimal"/>
      <w:lvlText w:val="%7."/>
      <w:lvlJc w:val="left"/>
      <w:pPr>
        <w:tabs>
          <w:tab w:val="num" w:pos="0"/>
        </w:tabs>
        <w:ind w:left="5891" w:hanging="360"/>
      </w:pPr>
      <w:rPr/>
    </w:lvl>
    <w:lvl w:ilvl="7">
      <w:start w:val="1"/>
      <w:numFmt w:val="lowerLetter"/>
      <w:lvlText w:val="%8."/>
      <w:lvlJc w:val="left"/>
      <w:pPr>
        <w:tabs>
          <w:tab w:val="num" w:pos="0"/>
        </w:tabs>
        <w:ind w:left="6611" w:hanging="360"/>
      </w:pPr>
      <w:rPr/>
    </w:lvl>
    <w:lvl w:ilvl="8">
      <w:start w:val="1"/>
      <w:numFmt w:val="lowerRoman"/>
      <w:lvlText w:val="%9."/>
      <w:lvlJc w:val="right"/>
      <w:pPr>
        <w:tabs>
          <w:tab w:val="num" w:pos="0"/>
        </w:tabs>
        <w:ind w:left="7331" w:hanging="180"/>
      </w:pPr>
      <w:rPr/>
    </w:lvl>
  </w:abstractNum>
  <w:abstractNum w:abstractNumId="3">
    <w:lvl w:ilvl="0">
      <w:start w:val="1"/>
      <w:numFmt w:val="decimal"/>
      <w:lvlText w:val="%1)"/>
      <w:lvlJc w:val="left"/>
      <w:pPr>
        <w:tabs>
          <w:tab w:val="num" w:pos="0"/>
        </w:tabs>
        <w:ind w:left="928" w:hanging="360"/>
      </w:pPr>
      <w:rPr/>
    </w:lvl>
    <w:lvl w:ilvl="1">
      <w:start w:val="1"/>
      <w:numFmt w:val="lowerLetter"/>
      <w:lvlText w:val="%2."/>
      <w:lvlJc w:val="left"/>
      <w:pPr>
        <w:tabs>
          <w:tab w:val="num" w:pos="0"/>
        </w:tabs>
        <w:ind w:left="2265" w:hanging="360"/>
      </w:pPr>
      <w:rPr/>
    </w:lvl>
    <w:lvl w:ilvl="2">
      <w:start w:val="1"/>
      <w:numFmt w:val="lowerRoman"/>
      <w:lvlText w:val="%3."/>
      <w:lvlJc w:val="right"/>
      <w:pPr>
        <w:tabs>
          <w:tab w:val="num" w:pos="0"/>
        </w:tabs>
        <w:ind w:left="2985" w:hanging="180"/>
      </w:pPr>
      <w:rPr/>
    </w:lvl>
    <w:lvl w:ilvl="3">
      <w:start w:val="1"/>
      <w:numFmt w:val="decimal"/>
      <w:lvlText w:val="%4."/>
      <w:lvlJc w:val="left"/>
      <w:pPr>
        <w:tabs>
          <w:tab w:val="num" w:pos="0"/>
        </w:tabs>
        <w:ind w:left="3705" w:hanging="360"/>
      </w:pPr>
      <w:rPr/>
    </w:lvl>
    <w:lvl w:ilvl="4">
      <w:start w:val="1"/>
      <w:numFmt w:val="lowerLetter"/>
      <w:lvlText w:val="%5."/>
      <w:lvlJc w:val="left"/>
      <w:pPr>
        <w:tabs>
          <w:tab w:val="num" w:pos="0"/>
        </w:tabs>
        <w:ind w:left="4425" w:hanging="360"/>
      </w:pPr>
      <w:rPr/>
    </w:lvl>
    <w:lvl w:ilvl="5">
      <w:start w:val="1"/>
      <w:numFmt w:val="lowerRoman"/>
      <w:lvlText w:val="%6."/>
      <w:lvlJc w:val="right"/>
      <w:pPr>
        <w:tabs>
          <w:tab w:val="num" w:pos="0"/>
        </w:tabs>
        <w:ind w:left="5145" w:hanging="180"/>
      </w:pPr>
      <w:rPr/>
    </w:lvl>
    <w:lvl w:ilvl="6">
      <w:start w:val="1"/>
      <w:numFmt w:val="decimal"/>
      <w:lvlText w:val="%7."/>
      <w:lvlJc w:val="left"/>
      <w:pPr>
        <w:tabs>
          <w:tab w:val="num" w:pos="0"/>
        </w:tabs>
        <w:ind w:left="5865" w:hanging="360"/>
      </w:pPr>
      <w:rPr/>
    </w:lvl>
    <w:lvl w:ilvl="7">
      <w:start w:val="1"/>
      <w:numFmt w:val="lowerLetter"/>
      <w:lvlText w:val="%8."/>
      <w:lvlJc w:val="left"/>
      <w:pPr>
        <w:tabs>
          <w:tab w:val="num" w:pos="0"/>
        </w:tabs>
        <w:ind w:left="6585" w:hanging="360"/>
      </w:pPr>
      <w:rPr/>
    </w:lvl>
    <w:lvl w:ilvl="8">
      <w:start w:val="1"/>
      <w:numFmt w:val="lowerRoman"/>
      <w:lvlText w:val="%9."/>
      <w:lvlJc w:val="right"/>
      <w:pPr>
        <w:tabs>
          <w:tab w:val="num" w:pos="0"/>
        </w:tabs>
        <w:ind w:left="7305" w:hanging="180"/>
      </w:pPr>
      <w:rPr/>
    </w:lvl>
  </w:abstractNum>
  <w:abstractNum w:abstractNumId="4">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5">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7">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72709"/>
    <w:pPr>
      <w:widowControl/>
      <w:bidi w:val="0"/>
      <w:spacing w:before="0" w:after="0"/>
      <w:ind w:firstLine="709"/>
      <w:jc w:val="both"/>
    </w:pPr>
    <w:rPr>
      <w:rFonts w:ascii="Calibri" w:hAnsi="Calibri" w:eastAsia="Calibri" w:cs="Times New Roman"/>
      <w:color w:val="auto"/>
      <w:kern w:val="0"/>
      <w:sz w:val="22"/>
      <w:szCs w:val="22"/>
      <w:lang w:eastAsia="en-US" w:val="ru-RU" w:bidi="ar-SA"/>
    </w:rPr>
  </w:style>
  <w:style w:type="paragraph" w:styleId="1">
    <w:name w:val="Heading 1"/>
    <w:basedOn w:val="Normal"/>
    <w:next w:val="Normal"/>
    <w:link w:val="11"/>
    <w:uiPriority w:val="9"/>
    <w:qFormat/>
    <w:pPr>
      <w:keepNext w:val="true"/>
      <w:keepLines/>
      <w:spacing w:before="480" w:after="200"/>
      <w:outlineLvl w:val="0"/>
    </w:pPr>
    <w:rPr>
      <w:rFonts w:ascii="Arial" w:hAnsi="Arial" w:eastAsia="Arial" w:cs="Arial"/>
      <w:sz w:val="40"/>
      <w:szCs w:val="40"/>
    </w:rPr>
  </w:style>
  <w:style w:type="paragraph" w:styleId="2">
    <w:name w:val="Heading 2"/>
    <w:basedOn w:val="Normal"/>
    <w:next w:val="Normal"/>
    <w:link w:val="21"/>
    <w:uiPriority w:val="9"/>
    <w:unhideWhenUsed/>
    <w:qFormat/>
    <w:pPr>
      <w:keepNext w:val="true"/>
      <w:keepLines/>
      <w:spacing w:before="360" w:after="200"/>
      <w:outlineLvl w:val="1"/>
    </w:pPr>
    <w:rPr>
      <w:rFonts w:ascii="Arial" w:hAnsi="Arial" w:eastAsia="Arial" w:cs="Arial"/>
      <w:sz w:val="34"/>
    </w:rPr>
  </w:style>
  <w:style w:type="paragraph" w:styleId="3">
    <w:name w:val="Heading 3"/>
    <w:basedOn w:val="Normal"/>
    <w:next w:val="Normal"/>
    <w:link w:val="31"/>
    <w:uiPriority w:val="9"/>
    <w:unhideWhenUsed/>
    <w:qFormat/>
    <w:pPr>
      <w:keepNext w:val="true"/>
      <w:keepLines/>
      <w:spacing w:before="320" w:after="200"/>
      <w:outlineLvl w:val="2"/>
    </w:pPr>
    <w:rPr>
      <w:rFonts w:ascii="Arial" w:hAnsi="Arial" w:eastAsia="Arial" w:cs="Arial"/>
      <w:sz w:val="30"/>
      <w:szCs w:val="30"/>
    </w:rPr>
  </w:style>
  <w:style w:type="paragraph" w:styleId="4">
    <w:name w:val="Heading 4"/>
    <w:basedOn w:val="Normal"/>
    <w:next w:val="Normal"/>
    <w:link w:val="41"/>
    <w:uiPriority w:val="9"/>
    <w:unhideWhenUsed/>
    <w:qFormat/>
    <w:pPr>
      <w:keepNext w:val="true"/>
      <w:keepLines/>
      <w:spacing w:before="320" w:after="200"/>
      <w:outlineLvl w:val="3"/>
    </w:pPr>
    <w:rPr>
      <w:rFonts w:ascii="Arial" w:hAnsi="Arial" w:eastAsia="Arial" w:cs="Arial"/>
      <w:b/>
      <w:bCs/>
      <w:sz w:val="26"/>
      <w:szCs w:val="26"/>
    </w:rPr>
  </w:style>
  <w:style w:type="paragraph" w:styleId="5">
    <w:name w:val="Heading 5"/>
    <w:basedOn w:val="Normal"/>
    <w:next w:val="Normal"/>
    <w:link w:val="51"/>
    <w:uiPriority w:val="9"/>
    <w:unhideWhenUsed/>
    <w:qFormat/>
    <w:pPr>
      <w:keepNext w:val="true"/>
      <w:keepLines/>
      <w:spacing w:before="320" w:after="200"/>
      <w:outlineLvl w:val="4"/>
    </w:pPr>
    <w:rPr>
      <w:rFonts w:ascii="Arial" w:hAnsi="Arial" w:eastAsia="Arial" w:cs="Arial"/>
      <w:b/>
      <w:bCs/>
      <w:sz w:val="24"/>
      <w:szCs w:val="24"/>
    </w:rPr>
  </w:style>
  <w:style w:type="paragraph" w:styleId="6">
    <w:name w:val="Heading 6"/>
    <w:basedOn w:val="Normal"/>
    <w:next w:val="Normal"/>
    <w:link w:val="61"/>
    <w:uiPriority w:val="9"/>
    <w:unhideWhenUsed/>
    <w:qFormat/>
    <w:pPr>
      <w:keepNext w:val="true"/>
      <w:keepLines/>
      <w:spacing w:before="320" w:after="200"/>
      <w:outlineLvl w:val="5"/>
    </w:pPr>
    <w:rPr>
      <w:rFonts w:ascii="Arial" w:hAnsi="Arial" w:eastAsia="Arial" w:cs="Arial"/>
      <w:b/>
      <w:bCs/>
    </w:rPr>
  </w:style>
  <w:style w:type="paragraph" w:styleId="7">
    <w:name w:val="Heading 7"/>
    <w:basedOn w:val="Normal"/>
    <w:next w:val="Normal"/>
    <w:link w:val="71"/>
    <w:uiPriority w:val="9"/>
    <w:unhideWhenUsed/>
    <w:qFormat/>
    <w:pPr>
      <w:keepNext w:val="true"/>
      <w:keepLines/>
      <w:spacing w:before="320" w:after="200"/>
      <w:outlineLvl w:val="6"/>
    </w:pPr>
    <w:rPr>
      <w:rFonts w:ascii="Arial" w:hAnsi="Arial" w:eastAsia="Arial" w:cs="Arial"/>
      <w:b/>
      <w:bCs/>
      <w:i/>
      <w:iCs/>
    </w:rPr>
  </w:style>
  <w:style w:type="paragraph" w:styleId="8">
    <w:name w:val="Heading 8"/>
    <w:basedOn w:val="Normal"/>
    <w:next w:val="Normal"/>
    <w:link w:val="81"/>
    <w:uiPriority w:val="9"/>
    <w:unhideWhenUsed/>
    <w:qFormat/>
    <w:pPr>
      <w:keepNext w:val="true"/>
      <w:keepLines/>
      <w:spacing w:before="320" w:after="200"/>
      <w:outlineLvl w:val="7"/>
    </w:pPr>
    <w:rPr>
      <w:rFonts w:ascii="Arial" w:hAnsi="Arial" w:eastAsia="Arial" w:cs="Arial"/>
      <w:i/>
      <w:iCs/>
    </w:rPr>
  </w:style>
  <w:style w:type="paragraph" w:styleId="9">
    <w:name w:val="Heading 9"/>
    <w:basedOn w:val="Normal"/>
    <w:next w:val="Normal"/>
    <w:link w:val="91"/>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Pr>
      <w:rFonts w:ascii="Arial" w:hAnsi="Arial" w:eastAsia="Arial" w:cs="Arial"/>
      <w:sz w:val="40"/>
      <w:szCs w:val="40"/>
    </w:rPr>
  </w:style>
  <w:style w:type="character" w:styleId="21" w:customStyle="1">
    <w:name w:val="Заголовок 2 Знак"/>
    <w:basedOn w:val="DefaultParagraphFont"/>
    <w:uiPriority w:val="9"/>
    <w:qFormat/>
    <w:rPr>
      <w:rFonts w:ascii="Arial" w:hAnsi="Arial" w:eastAsia="Arial" w:cs="Arial"/>
      <w:sz w:val="34"/>
    </w:rPr>
  </w:style>
  <w:style w:type="character" w:styleId="31" w:customStyle="1">
    <w:name w:val="Заголовок 3 Знак"/>
    <w:basedOn w:val="DefaultParagraphFont"/>
    <w:uiPriority w:val="9"/>
    <w:qFormat/>
    <w:rPr>
      <w:rFonts w:ascii="Arial" w:hAnsi="Arial" w:eastAsia="Arial" w:cs="Arial"/>
      <w:sz w:val="30"/>
      <w:szCs w:val="30"/>
    </w:rPr>
  </w:style>
  <w:style w:type="character" w:styleId="41" w:customStyle="1">
    <w:name w:val="Заголовок 4 Знак"/>
    <w:basedOn w:val="DefaultParagraphFont"/>
    <w:uiPriority w:val="9"/>
    <w:qFormat/>
    <w:rPr>
      <w:rFonts w:ascii="Arial" w:hAnsi="Arial" w:eastAsia="Arial" w:cs="Arial"/>
      <w:b/>
      <w:bCs/>
      <w:sz w:val="26"/>
      <w:szCs w:val="26"/>
    </w:rPr>
  </w:style>
  <w:style w:type="character" w:styleId="51" w:customStyle="1">
    <w:name w:val="Заголовок 5 Знак"/>
    <w:basedOn w:val="DefaultParagraphFont"/>
    <w:uiPriority w:val="9"/>
    <w:qFormat/>
    <w:rPr>
      <w:rFonts w:ascii="Arial" w:hAnsi="Arial" w:eastAsia="Arial" w:cs="Arial"/>
      <w:b/>
      <w:bCs/>
      <w:sz w:val="24"/>
      <w:szCs w:val="24"/>
    </w:rPr>
  </w:style>
  <w:style w:type="character" w:styleId="61" w:customStyle="1">
    <w:name w:val="Заголовок 6 Знак"/>
    <w:basedOn w:val="DefaultParagraphFont"/>
    <w:uiPriority w:val="9"/>
    <w:qFormat/>
    <w:rPr>
      <w:rFonts w:ascii="Arial" w:hAnsi="Arial" w:eastAsia="Arial" w:cs="Arial"/>
      <w:b/>
      <w:bCs/>
      <w:sz w:val="22"/>
      <w:szCs w:val="22"/>
    </w:rPr>
  </w:style>
  <w:style w:type="character" w:styleId="71" w:customStyle="1">
    <w:name w:val="Заголовок 7 Знак"/>
    <w:basedOn w:val="DefaultParagraphFont"/>
    <w:uiPriority w:val="9"/>
    <w:qFormat/>
    <w:rPr>
      <w:rFonts w:ascii="Arial" w:hAnsi="Arial" w:eastAsia="Arial" w:cs="Arial"/>
      <w:b/>
      <w:bCs/>
      <w:i/>
      <w:iCs/>
      <w:sz w:val="22"/>
      <w:szCs w:val="22"/>
    </w:rPr>
  </w:style>
  <w:style w:type="character" w:styleId="81" w:customStyle="1">
    <w:name w:val="Заголовок 8 Знак"/>
    <w:basedOn w:val="DefaultParagraphFont"/>
    <w:uiPriority w:val="9"/>
    <w:qFormat/>
    <w:rPr>
      <w:rFonts w:ascii="Arial" w:hAnsi="Arial" w:eastAsia="Arial" w:cs="Arial"/>
      <w:i/>
      <w:iCs/>
      <w:sz w:val="22"/>
      <w:szCs w:val="22"/>
    </w:rPr>
  </w:style>
  <w:style w:type="character" w:styleId="91"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Название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2"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FootnoteTextChar" w:customStyle="1">
    <w:name w:val="Footnote Text Char"/>
    <w:uiPriority w:val="99"/>
    <w:qFormat/>
    <w:rPr>
      <w:sz w:val="18"/>
    </w:rPr>
  </w:style>
  <w:style w:type="character" w:styleId="Style8" w:customStyle="1">
    <w:name w:val="Текст концевой сноски Знак"/>
    <w:uiPriority w:val="99"/>
    <w:qFormat/>
    <w:rPr>
      <w:sz w:val="20"/>
    </w:rPr>
  </w:style>
  <w:style w:type="character" w:styleId="Style9">
    <w:name w:val="Символ концевой сноски"/>
    <w:basedOn w:val="DefaultParagraphFont"/>
    <w:uiPriority w:val="99"/>
    <w:semiHidden/>
    <w:unhideWhenUsed/>
    <w:qFormat/>
    <w:rPr>
      <w:vertAlign w:val="superscript"/>
    </w:rPr>
  </w:style>
  <w:style w:type="character" w:styleId="Style10">
    <w:name w:val="Endnote Reference"/>
    <w:rPr>
      <w:vertAlign w:val="superscript"/>
    </w:rPr>
  </w:style>
  <w:style w:type="character" w:styleId="Style11" w:customStyle="1">
    <w:name w:val="Верхний колонтитул Знак"/>
    <w:basedOn w:val="DefaultParagraphFont"/>
    <w:uiPriority w:val="99"/>
    <w:qFormat/>
    <w:rPr/>
  </w:style>
  <w:style w:type="character" w:styleId="Style12" w:customStyle="1">
    <w:name w:val="Нижний колонтитул Знак"/>
    <w:basedOn w:val="DefaultParagraphFont"/>
    <w:uiPriority w:val="99"/>
    <w:qFormat/>
    <w:rPr/>
  </w:style>
  <w:style w:type="character" w:styleId="Style13" w:customStyle="1">
    <w:name w:val="Основной текст Знак"/>
    <w:qFormat/>
    <w:rPr>
      <w:rFonts w:ascii="Calibri" w:hAnsi="Calibri" w:cs="Calibri"/>
      <w:shd w:fill="FFFFFF" w:val="clear"/>
    </w:rPr>
  </w:style>
  <w:style w:type="character" w:styleId="12" w:customStyle="1">
    <w:name w:val="Основной текст Знак1"/>
    <w:basedOn w:val="DefaultParagraphFont"/>
    <w:uiPriority w:val="99"/>
    <w:semiHidden/>
    <w:qFormat/>
    <w:rPr/>
  </w:style>
  <w:style w:type="character" w:styleId="Apple-converted-space" w:customStyle="1">
    <w:name w:val="apple-converted-space"/>
    <w:basedOn w:val="DefaultParagraphFont"/>
    <w:qFormat/>
    <w:rPr/>
  </w:style>
  <w:style w:type="character" w:styleId="Style14" w:customStyle="1">
    <w:name w:val="Текст сноски Знак"/>
    <w:uiPriority w:val="99"/>
    <w:qFormat/>
    <w:rPr>
      <w:rFonts w:ascii="Times New Roman" w:hAnsi="Times New Roman" w:eastAsia="Times New Roman" w:cs="Times New Roman"/>
      <w:sz w:val="20"/>
      <w:szCs w:val="20"/>
      <w:lang w:eastAsia="ru-RU"/>
    </w:rPr>
  </w:style>
  <w:style w:type="character" w:styleId="Style15">
    <w:name w:val="Символ сноски"/>
    <w:uiPriority w:val="99"/>
    <w:semiHidden/>
    <w:qFormat/>
    <w:rPr>
      <w:vertAlign w:val="superscript"/>
    </w:rPr>
  </w:style>
  <w:style w:type="character" w:styleId="Style16">
    <w:name w:val="Footnote Reference"/>
    <w:rPr>
      <w:vertAlign w:val="superscript"/>
    </w:rPr>
  </w:style>
  <w:style w:type="character" w:styleId="FontStyle12" w:customStyle="1">
    <w:name w:val="Font Style12"/>
    <w:qFormat/>
    <w:rPr>
      <w:rFonts w:ascii="Times New Roman" w:hAnsi="Times New Roman" w:cs="Times New Roman"/>
      <w:sz w:val="24"/>
      <w:szCs w:val="24"/>
    </w:rPr>
  </w:style>
  <w:style w:type="character" w:styleId="Style17" w:customStyle="1">
    <w:name w:val="Основной текст_"/>
    <w:link w:val="14"/>
    <w:qFormat/>
    <w:rPr>
      <w:sz w:val="28"/>
      <w:szCs w:val="28"/>
      <w:shd w:fill="FFFFFF" w:val="clear"/>
    </w:rPr>
  </w:style>
  <w:style w:type="character" w:styleId="Style18" w:customStyle="1">
    <w:name w:val="Текст выноски Знак"/>
    <w:link w:val="BalloonText"/>
    <w:uiPriority w:val="99"/>
    <w:semiHidden/>
    <w:qFormat/>
    <w:rPr>
      <w:rFonts w:ascii="Tahoma" w:hAnsi="Tahoma" w:cs="Tahoma"/>
      <w:sz w:val="16"/>
      <w:szCs w:val="16"/>
    </w:rPr>
  </w:style>
  <w:style w:type="character" w:styleId="Annotationreference">
    <w:name w:val="annotation reference"/>
    <w:uiPriority w:val="99"/>
    <w:semiHidden/>
    <w:unhideWhenUsed/>
    <w:qFormat/>
    <w:rPr>
      <w:sz w:val="16"/>
      <w:szCs w:val="16"/>
    </w:rPr>
  </w:style>
  <w:style w:type="character" w:styleId="Style19" w:customStyle="1">
    <w:name w:val="Текст примечания Знак"/>
    <w:link w:val="Annotationtext"/>
    <w:uiPriority w:val="99"/>
    <w:qFormat/>
    <w:rPr>
      <w:sz w:val="20"/>
      <w:szCs w:val="20"/>
    </w:rPr>
  </w:style>
  <w:style w:type="character" w:styleId="Style20" w:customStyle="1">
    <w:name w:val="Тема примечания Знак"/>
    <w:link w:val="Annotationsubject"/>
    <w:uiPriority w:val="99"/>
    <w:semiHidden/>
    <w:qFormat/>
    <w:rPr>
      <w:b/>
      <w:bCs/>
      <w:sz w:val="20"/>
      <w:szCs w:val="20"/>
    </w:rPr>
  </w:style>
  <w:style w:type="character" w:styleId="111" w:customStyle="1">
    <w:name w:val="Основной текст Знак11"/>
    <w:uiPriority w:val="99"/>
    <w:semiHidden/>
    <w:qFormat/>
    <w:rPr>
      <w:rFonts w:cs="Times New Roman"/>
    </w:rPr>
  </w:style>
  <w:style w:type="character" w:styleId="-">
    <w:name w:val="Hyperlink"/>
    <w:basedOn w:val="DefaultParagraphFont"/>
    <w:uiPriority w:val="99"/>
    <w:unhideWhenUsed/>
    <w:rPr>
      <w:color w:val="0563C1" w:themeColor="hyperlink"/>
      <w:u w:val="single"/>
    </w:rPr>
  </w:style>
  <w:style w:type="character" w:styleId="FontStyle33" w:customStyle="1">
    <w:name w:val="Font Style33"/>
    <w:basedOn w:val="DefaultParagraphFont"/>
    <w:uiPriority w:val="99"/>
    <w:qFormat/>
    <w:rPr>
      <w:rFonts w:ascii="Times New Roman" w:hAnsi="Times New Roman" w:cs="Times New Roman"/>
      <w:sz w:val="28"/>
      <w:szCs w:val="28"/>
    </w:rPr>
  </w:style>
  <w:style w:type="paragraph" w:styleId="Style21">
    <w:name w:val="Заголовок"/>
    <w:basedOn w:val="Normal"/>
    <w:next w:val="Style22"/>
    <w:qFormat/>
    <w:pPr>
      <w:keepNext w:val="true"/>
      <w:spacing w:before="240" w:after="120"/>
    </w:pPr>
    <w:rPr>
      <w:rFonts w:ascii="PT Astra Serif" w:hAnsi="PT Astra Serif" w:eastAsia="Tahoma" w:cs="Noto Sans Devanagari"/>
      <w:sz w:val="28"/>
      <w:szCs w:val="28"/>
    </w:rPr>
  </w:style>
  <w:style w:type="paragraph" w:styleId="Style22">
    <w:name w:val="Body Text"/>
    <w:basedOn w:val="Normal"/>
    <w:link w:val="Style13"/>
    <w:pPr>
      <w:widowControl w:val="false"/>
      <w:shd w:val="clear" w:color="auto" w:fill="FFFFFF"/>
      <w:spacing w:lineRule="exact" w:line="298" w:before="0" w:after="780"/>
      <w:ind w:hanging="1600"/>
    </w:pPr>
    <w:rPr>
      <w:rFonts w:cs="Calibri"/>
    </w:rPr>
  </w:style>
  <w:style w:type="paragraph" w:styleId="Style23">
    <w:name w:val="List"/>
    <w:basedOn w:val="Style22"/>
    <w:pPr/>
    <w:rPr>
      <w:rFonts w:ascii="PT Astra Serif" w:hAnsi="PT Astra Serif" w:cs="Noto Sans Devanagari"/>
    </w:rPr>
  </w:style>
  <w:style w:type="paragraph" w:styleId="Style24">
    <w:name w:val="Caption"/>
    <w:basedOn w:val="Normal"/>
    <w:qFormat/>
    <w:pPr>
      <w:suppressLineNumbers/>
      <w:spacing w:before="120" w:after="120"/>
    </w:pPr>
    <w:rPr>
      <w:rFonts w:ascii="PT Astra Serif" w:hAnsi="PT Astra Serif" w:cs="Noto Sans Devanagari"/>
      <w:i/>
      <w:iCs/>
      <w:sz w:val="24"/>
      <w:szCs w:val="24"/>
    </w:rPr>
  </w:style>
  <w:style w:type="paragraph" w:styleId="Style25">
    <w:name w:val="Указатель"/>
    <w:basedOn w:val="Normal"/>
    <w:qFormat/>
    <w:pPr>
      <w:suppressLineNumbers/>
    </w:pPr>
    <w:rPr>
      <w:rFonts w:ascii="PT Astra Serif" w:hAnsi="PT Astra Serif" w:cs="Noto Sans Devanagari"/>
    </w:rPr>
  </w:style>
  <w:style w:type="paragraph" w:styleId="NoSpacing">
    <w:name w:val="No Spacing"/>
    <w:uiPriority w:val="1"/>
    <w:qFormat/>
    <w:pPr>
      <w:widowControl/>
      <w:bidi w:val="0"/>
      <w:spacing w:before="0" w:after="0"/>
      <w:jc w:val="left"/>
    </w:pPr>
    <w:rPr>
      <w:rFonts w:ascii="Calibri" w:hAnsi="Calibri" w:eastAsia="Calibri" w:cs="Times New Roman"/>
      <w:color w:val="auto"/>
      <w:kern w:val="0"/>
      <w:sz w:val="20"/>
      <w:szCs w:val="20"/>
      <w:lang w:val="ru-RU" w:eastAsia="ru-RU" w:bidi="ar-SA"/>
    </w:rPr>
  </w:style>
  <w:style w:type="paragraph" w:styleId="Style26">
    <w:name w:val="Title"/>
    <w:basedOn w:val="Normal"/>
    <w:next w:val="Normal"/>
    <w:link w:val="Style5"/>
    <w:uiPriority w:val="10"/>
    <w:qFormat/>
    <w:pPr>
      <w:spacing w:before="300" w:after="200"/>
      <w:contextualSpacing/>
    </w:pPr>
    <w:rPr>
      <w:sz w:val="48"/>
      <w:szCs w:val="48"/>
    </w:rPr>
  </w:style>
  <w:style w:type="paragraph" w:styleId="Style27">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2"/>
    <w:uiPriority w:val="29"/>
    <w:qFormat/>
    <w:pPr>
      <w:ind w:left="720" w:right="720" w:firstLine="709"/>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firstLine="709"/>
    </w:pPr>
    <w:rPr>
      <w:i/>
    </w:rPr>
  </w:style>
  <w:style w:type="paragraph" w:styleId="Caption">
    <w:name w:val="caption"/>
    <w:basedOn w:val="Normal"/>
    <w:next w:val="Normal"/>
    <w:uiPriority w:val="35"/>
    <w:semiHidden/>
    <w:unhideWhenUsed/>
    <w:qFormat/>
    <w:pPr>
      <w:spacing w:lineRule="auto" w:line="276"/>
    </w:pPr>
    <w:rPr>
      <w:b/>
      <w:bCs/>
      <w:color w:val="5B9BD5" w:themeColor="accent1"/>
      <w:sz w:val="18"/>
      <w:szCs w:val="18"/>
    </w:rPr>
  </w:style>
  <w:style w:type="paragraph" w:styleId="Style28">
    <w:name w:val="Endnote Text"/>
    <w:basedOn w:val="Normal"/>
    <w:link w:val="Style8"/>
    <w:uiPriority w:val="99"/>
    <w:semiHidden/>
    <w:unhideWhenUsed/>
    <w:pPr/>
    <w:rPr>
      <w:sz w:val="20"/>
    </w:rPr>
  </w:style>
  <w:style w:type="paragraph" w:styleId="13">
    <w:name w:val="TOC 1"/>
    <w:basedOn w:val="Normal"/>
    <w:next w:val="Normal"/>
    <w:uiPriority w:val="39"/>
    <w:unhideWhenUsed/>
    <w:pPr>
      <w:spacing w:before="0" w:after="57"/>
      <w:ind w:hanging="0"/>
    </w:pPr>
    <w:rPr/>
  </w:style>
  <w:style w:type="paragraph" w:styleId="23">
    <w:name w:val="TOC 2"/>
    <w:basedOn w:val="Normal"/>
    <w:next w:val="Normal"/>
    <w:uiPriority w:val="39"/>
    <w:unhideWhenUsed/>
    <w:pPr>
      <w:spacing w:before="0" w:after="57"/>
      <w:ind w:left="283" w:hanging="0"/>
    </w:pPr>
    <w:rPr/>
  </w:style>
  <w:style w:type="paragraph" w:styleId="32">
    <w:name w:val="TOC 3"/>
    <w:basedOn w:val="Normal"/>
    <w:next w:val="Normal"/>
    <w:uiPriority w:val="39"/>
    <w:unhideWhenUsed/>
    <w:pPr>
      <w:spacing w:before="0" w:after="57"/>
      <w:ind w:left="567" w:hanging="0"/>
    </w:pPr>
    <w:rPr/>
  </w:style>
  <w:style w:type="paragraph" w:styleId="42">
    <w:name w:val="TOC 4"/>
    <w:basedOn w:val="Normal"/>
    <w:next w:val="Normal"/>
    <w:uiPriority w:val="39"/>
    <w:unhideWhenUsed/>
    <w:pPr>
      <w:spacing w:before="0" w:after="57"/>
      <w:ind w:left="850" w:hanging="0"/>
    </w:pPr>
    <w:rPr/>
  </w:style>
  <w:style w:type="paragraph" w:styleId="52">
    <w:name w:val="TOC 5"/>
    <w:basedOn w:val="Normal"/>
    <w:next w:val="Normal"/>
    <w:uiPriority w:val="39"/>
    <w:unhideWhenUsed/>
    <w:pPr>
      <w:spacing w:before="0" w:after="57"/>
      <w:ind w:left="1134" w:hanging="0"/>
    </w:pPr>
    <w:rPr/>
  </w:style>
  <w:style w:type="paragraph" w:styleId="62">
    <w:name w:val="TOC 6"/>
    <w:basedOn w:val="Normal"/>
    <w:next w:val="Normal"/>
    <w:uiPriority w:val="39"/>
    <w:unhideWhenUsed/>
    <w:pPr>
      <w:spacing w:before="0" w:after="57"/>
      <w:ind w:left="1417" w:hanging="0"/>
    </w:pPr>
    <w:rPr/>
  </w:style>
  <w:style w:type="paragraph" w:styleId="72">
    <w:name w:val="TOC 7"/>
    <w:basedOn w:val="Normal"/>
    <w:next w:val="Normal"/>
    <w:uiPriority w:val="39"/>
    <w:unhideWhenUsed/>
    <w:pPr>
      <w:spacing w:before="0" w:after="57"/>
      <w:ind w:left="1701" w:hanging="0"/>
    </w:pPr>
    <w:rPr/>
  </w:style>
  <w:style w:type="paragraph" w:styleId="82">
    <w:name w:val="TOC 8"/>
    <w:basedOn w:val="Normal"/>
    <w:next w:val="Normal"/>
    <w:uiPriority w:val="39"/>
    <w:unhideWhenUsed/>
    <w:pPr>
      <w:spacing w:before="0" w:after="57"/>
      <w:ind w:left="1984" w:hanging="0"/>
    </w:pPr>
    <w:rPr/>
  </w:style>
  <w:style w:type="paragraph" w:styleId="92">
    <w:name w:val="TOC 9"/>
    <w:basedOn w:val="Normal"/>
    <w:next w:val="Normal"/>
    <w:uiPriority w:val="39"/>
    <w:unhideWhenUsed/>
    <w:pPr>
      <w:spacing w:before="0" w:after="57"/>
      <w:ind w:left="2268" w:hanging="0"/>
    </w:pPr>
    <w:rPr/>
  </w:style>
  <w:style w:type="paragraph" w:styleId="Style29">
    <w:name w:val="Index Heading"/>
    <w:basedOn w:val="Style21"/>
    <w:pPr/>
    <w:rPr/>
  </w:style>
  <w:style w:type="paragraph" w:styleId="Style30">
    <w:name w:val="TOC Heading"/>
    <w:uiPriority w:val="39"/>
    <w:unhideWhenUsed/>
    <w:pPr>
      <w:widowControl/>
      <w:bidi w:val="0"/>
      <w:spacing w:before="0" w:after="0"/>
      <w:jc w:val="lef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qFormat/>
    <w:pPr/>
    <w:rPr/>
  </w:style>
  <w:style w:type="paragraph" w:styleId="Style31">
    <w:name w:val="Колонтитул"/>
    <w:basedOn w:val="Normal"/>
    <w:qFormat/>
    <w:pPr/>
    <w:rPr/>
  </w:style>
  <w:style w:type="paragraph" w:styleId="Style32">
    <w:name w:val="Header"/>
    <w:basedOn w:val="Normal"/>
    <w:link w:val="Style11"/>
    <w:uiPriority w:val="99"/>
    <w:unhideWhenUsed/>
    <w:pPr>
      <w:tabs>
        <w:tab w:val="clear" w:pos="709"/>
        <w:tab w:val="center" w:pos="4677" w:leader="none"/>
        <w:tab w:val="right" w:pos="9355" w:leader="none"/>
      </w:tabs>
    </w:pPr>
    <w:rPr/>
  </w:style>
  <w:style w:type="paragraph" w:styleId="Style33">
    <w:name w:val="Footer"/>
    <w:basedOn w:val="Normal"/>
    <w:link w:val="Style12"/>
    <w:uiPriority w:val="99"/>
    <w:unhideWhenUsed/>
    <w:pPr>
      <w:tabs>
        <w:tab w:val="clear" w:pos="709"/>
        <w:tab w:val="center" w:pos="4677" w:leader="none"/>
        <w:tab w:val="right" w:pos="9355" w:leader="none"/>
      </w:tabs>
    </w:pPr>
    <w:rPr/>
  </w:style>
  <w:style w:type="paragraph" w:styleId="ConsPlusNonformat" w:customStyle="1">
    <w:name w:val="ConsPlusNonformat"/>
    <w:uiPriority w:val="99"/>
    <w:qFormat/>
    <w:pPr>
      <w:widowControl/>
      <w:bidi w:val="0"/>
      <w:spacing w:before="0" w:after="0"/>
      <w:ind w:firstLine="709"/>
      <w:jc w:val="both"/>
    </w:pPr>
    <w:rPr>
      <w:rFonts w:ascii="Courier New" w:hAnsi="Courier New" w:cs="Courier New" w:eastAsia="Calibri"/>
      <w:color w:val="auto"/>
      <w:kern w:val="0"/>
      <w:sz w:val="20"/>
      <w:szCs w:val="20"/>
      <w:lang w:eastAsia="en-US" w:val="ru-RU" w:bidi="ar-SA"/>
    </w:rPr>
  </w:style>
  <w:style w:type="paragraph" w:styleId="ListParagraph">
    <w:name w:val="List Paragraph"/>
    <w:basedOn w:val="Normal"/>
    <w:uiPriority w:val="34"/>
    <w:qFormat/>
    <w:pPr>
      <w:spacing w:before="0" w:after="0"/>
      <w:ind w:left="720" w:firstLine="709"/>
      <w:contextualSpacing/>
    </w:pPr>
    <w:rPr/>
  </w:style>
  <w:style w:type="paragraph" w:styleId="Default" w:customStyle="1">
    <w:name w:val="Default"/>
    <w:qFormat/>
    <w:pPr>
      <w:widowControl/>
      <w:bidi w:val="0"/>
      <w:spacing w:before="0" w:after="0"/>
      <w:ind w:firstLine="709"/>
      <w:jc w:val="both"/>
    </w:pPr>
    <w:rPr>
      <w:rFonts w:ascii="Times New Roman" w:hAnsi="Times New Roman" w:eastAsia="Calibri" w:cs="Times New Roman"/>
      <w:color w:val="000000"/>
      <w:kern w:val="0"/>
      <w:sz w:val="24"/>
      <w:szCs w:val="24"/>
      <w:lang w:val="ru-RU" w:eastAsia="ru-RU" w:bidi="ar-SA"/>
    </w:rPr>
  </w:style>
  <w:style w:type="paragraph" w:styleId="NormalWeb">
    <w:name w:val="Normal (Web)"/>
    <w:basedOn w:val="Normal"/>
    <w:uiPriority w:val="99"/>
    <w:unhideWhenUsed/>
    <w:qFormat/>
    <w:pPr>
      <w:spacing w:before="240" w:after="240"/>
    </w:pPr>
    <w:rPr>
      <w:rFonts w:ascii="Times New Roman" w:hAnsi="Times New Roman" w:eastAsia="Times New Roman"/>
      <w:sz w:val="24"/>
      <w:szCs w:val="24"/>
      <w:lang w:eastAsia="ru-RU"/>
    </w:rPr>
  </w:style>
  <w:style w:type="paragraph" w:styleId="Style34">
    <w:name w:val="Footnote Text"/>
    <w:basedOn w:val="Normal"/>
    <w:link w:val="Style14"/>
    <w:uiPriority w:val="99"/>
    <w:pPr/>
    <w:rPr>
      <w:rFonts w:ascii="Times New Roman" w:hAnsi="Times New Roman" w:eastAsia="Times New Roman"/>
      <w:sz w:val="20"/>
      <w:szCs w:val="20"/>
      <w:lang w:eastAsia="ru-RU"/>
    </w:rPr>
  </w:style>
  <w:style w:type="paragraph" w:styleId="14" w:customStyle="1">
    <w:name w:val="Основной текст1"/>
    <w:basedOn w:val="Normal"/>
    <w:link w:val="Style17"/>
    <w:qFormat/>
    <w:pPr>
      <w:shd w:val="clear" w:color="auto" w:fill="FFFFFF"/>
      <w:spacing w:lineRule="atLeast" w:line="0" w:before="0" w:after="420"/>
      <w:ind w:hanging="420"/>
      <w:jc w:val="center"/>
    </w:pPr>
    <w:rPr>
      <w:sz w:val="28"/>
      <w:szCs w:val="28"/>
    </w:rPr>
  </w:style>
  <w:style w:type="paragraph" w:styleId="BalloonText">
    <w:name w:val="Balloon Text"/>
    <w:basedOn w:val="Normal"/>
    <w:link w:val="Style18"/>
    <w:uiPriority w:val="99"/>
    <w:semiHidden/>
    <w:unhideWhenUsed/>
    <w:qFormat/>
    <w:pPr/>
    <w:rPr>
      <w:rFonts w:ascii="Tahoma" w:hAnsi="Tahoma" w:cs="Tahoma"/>
      <w:sz w:val="16"/>
      <w:szCs w:val="16"/>
    </w:rPr>
  </w:style>
  <w:style w:type="paragraph" w:styleId="Annotationtext">
    <w:name w:val="annotation text"/>
    <w:basedOn w:val="Normal"/>
    <w:link w:val="Style19"/>
    <w:uiPriority w:val="99"/>
    <w:unhideWhenUsed/>
    <w:qFormat/>
    <w:pPr/>
    <w:rPr>
      <w:sz w:val="20"/>
      <w:szCs w:val="20"/>
    </w:rPr>
  </w:style>
  <w:style w:type="paragraph" w:styleId="Annotationsubject">
    <w:name w:val="annotation subject"/>
    <w:basedOn w:val="Annotationtext"/>
    <w:next w:val="Annotationtext"/>
    <w:link w:val="Style20"/>
    <w:uiPriority w:val="99"/>
    <w:semiHidden/>
    <w:unhideWhenUsed/>
    <w:qFormat/>
    <w:pPr/>
    <w:rPr>
      <w:b/>
      <w:bCs/>
    </w:rPr>
  </w:style>
  <w:style w:type="paragraph" w:styleId="ConsPlusNormal" w:customStyle="1">
    <w:name w:val="ConsPlusNormal"/>
    <w:qFormat/>
    <w:pPr>
      <w:widowControl/>
      <w:bidi w:val="0"/>
      <w:spacing w:before="0" w:after="0"/>
      <w:jc w:val="left"/>
    </w:pPr>
    <w:rPr>
      <w:rFonts w:ascii="Times New Roman" w:hAnsi="Times New Roman" w:eastAsia="Calibri" w:cs="Times New Roman"/>
      <w:color w:val="auto"/>
      <w:kern w:val="0"/>
      <w:sz w:val="28"/>
      <w:szCs w:val="28"/>
      <w:lang w:eastAsia="en-US" w:val="ru-RU" w:bidi="ar-SA"/>
    </w:rPr>
  </w:style>
  <w:style w:type="paragraph" w:styleId="Revision">
    <w:name w:val="Revision"/>
    <w:uiPriority w:val="99"/>
    <w:semiHidden/>
    <w:qFormat/>
    <w:pPr>
      <w:widowControl/>
      <w:bidi w:val="0"/>
      <w:spacing w:before="0" w:after="0"/>
      <w:jc w:val="left"/>
    </w:pPr>
    <w:rPr>
      <w:rFonts w:ascii="Calibri" w:hAnsi="Calibri" w:eastAsia="Calibri" w:cs="Times New Roman"/>
      <w:color w:val="auto"/>
      <w:kern w:val="0"/>
      <w:sz w:val="22"/>
      <w:szCs w:val="22"/>
      <w:lang w:eastAsia="en-US" w:val="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11">
    <w:name w:val="Таблица простая 1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color w:val="404040"/>
        <w:sz w:val="22"/>
      </w:rPr>
      <w:tbl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0">
    <w:name w:val="Таблица простая 21"/>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color w:val="404040"/>
        <w:sz w:val="22"/>
      </w:rPr>
      <w:tblPr/>
      <w:tcPr>
        <w:tcBorders>
          <w:top w:val="single" w:color="000000" w:themeColor="text1" w:sz="4" w:space="0"/>
          <w:bottom w:val="single" w:color="000000" w:themeColor="text1" w:sz="4" w:space="0"/>
        </w:tcBorders>
      </w:tc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Row">
      <w:rPr>
        <w:b/>
        <w:caps/>
        <w:color w:val="404040"/>
      </w:rPr>
      <w:tbl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lastCol">
      <w:rPr>
        <w:b/>
        <w:caps/>
        <w:color w:val="404040"/>
      </w:rPr>
      <w:tbl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41">
    <w:name w:val="Таблица простая 41"/>
    <w:basedOn w:val="a1"/>
    <w:uiPriority w:val="99"/>
    <w:tblPr>
      <w:tblStyleRowBandSize w:val="1"/>
      <w:tblStyleColBandSize w:val="1"/>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color="000000" w:sz="4" w:space="0"/>
          <w:bottom w:val="single" w:color="404040" w:sz="4" w:space="0"/>
          <w:right w:val="none" w:color="000000" w:sz="4" w:space="0"/>
        </w:tcBorders>
        <w:shd w:val="clear" w:color="FFFFFF" w:fill="auto"/>
      </w:tcPr>
    </w:tblStylePr>
    <w:tblStylePr w:type="lastRow">
      <w:rPr>
        <w:i/>
        <w:color w:val="404040"/>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11">
    <w:name w:val="Таблица-сетка 1 светлая1"/>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color w:val="404040"/>
      </w:rPr>
      <w:tblPr/>
      <w:tcPr>
        <w:tcBorders>
          <w:bottom w:val="single" w:color="6A6A6A" w:themeColor="text1"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blPr/>
      <w:tcPr>
        <w:tcBorders>
          <w:bottom w:val="single" w:color="9EC4E6" w:themeColor="accent1"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BCD6EE" w:themeColor="accent1" w:sz="4" w:space="0"/>
          <w:left w:val="single" w:color="BCD6EE" w:themeColor="accent1" w:sz="4" w:space="0"/>
          <w:bottom w:val="single" w:color="BCD6EE" w:themeColor="accent1" w:sz="4" w:space="0"/>
          <w:right w:val="single" w:color="BCD6EE"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blPr/>
      <w:tcPr>
        <w:tcBorders>
          <w:bottom w:val="single" w:color="F4B286" w:themeColor="accent2"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blPr/>
      <w:tcPr>
        <w:tcBorders>
          <w:bottom w:val="single" w:color="CACACA" w:themeColor="accent3"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b/>
        <w:color w:val="404040"/>
      </w:rPr>
      <w:tblPr/>
      <w:tcPr>
        <w:tcBorders>
          <w:bottom w:val="single" w:color="FFDA6A" w:themeColor="accent4"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firstRow">
      <w:rPr>
        <w:b/>
        <w:color w:val="404040"/>
      </w:rPr>
      <w:tblPr/>
      <w:tcPr>
        <w:tcBorders>
          <w:bottom w:val="single" w:color="91ACDC" w:themeColor="accent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B3C5E7" w:themeColor="accent5" w:sz="4" w:space="0"/>
          <w:left w:val="single" w:color="B3C5E7" w:themeColor="accent5" w:sz="4" w:space="0"/>
          <w:bottom w:val="single" w:color="B3C5E7" w:themeColor="accent5" w:sz="4" w:space="0"/>
          <w:right w:val="single" w:color="B3C5E7"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blPr/>
      <w:tcPr>
        <w:tcBorders>
          <w:bottom w:val="single" w:color="AAD190" w:themeColor="accent6"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 w:type="table" w:customStyle="1" w:styleId="-21">
    <w:name w:val="Таблица-сетка 2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color w:val="404040"/>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firstRow">
      <w:rPr>
        <w:b/>
        <w:color w:val="404040"/>
      </w:rPr>
      <w:tblPr/>
      <w:tcPr>
        <w:tcBorders>
          <w:top w:val="none" w:color="000000" w:sz="4" w:space="0"/>
          <w:left w:val="none" w:color="000000" w:sz="4" w:space="0"/>
          <w:bottom w:val="single" w:color="68A2D8" w:themeColor="accent1" w:sz="12" w:space="0"/>
          <w:right w:val="none" w:color="000000" w:sz="4" w:space="0"/>
        </w:tcBorders>
        <w:shd w:val="clear" w:color="FFFFFF" w:fill="auto"/>
      </w:tcPr>
    </w:tblStylePr>
    <w:tblStylePr w:type="lastRow">
      <w:rPr>
        <w:b/>
        <w:color w:val="404040"/>
      </w:rPr>
      <w:tblPr/>
      <w:tcPr>
        <w:tcBorders>
          <w:top w:val="single" w:color="68A2D8" w:themeColor="accent1"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DDEAF6" w:fill="DDEAF6" w:themeFill="accent1" w:themeFillTint="34"/>
      </w:tcPr>
    </w:tblStylePr>
    <w:tblStylePr w:type="band1Horz">
      <w:rPr>
        <w:color w:val="404040"/>
        <w:sz w:val="22"/>
      </w:rPr>
      <w:tblPr/>
      <w:tcPr>
        <w:shd w:val="clear" w:color="DDEAF6"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404040"/>
      </w:rPr>
      <w:tblPr/>
      <w:tcPr>
        <w:tcBorders>
          <w:top w:val="none" w:color="000000" w:sz="4" w:space="0"/>
          <w:left w:val="none" w:color="000000" w:sz="4" w:space="0"/>
          <w:bottom w:val="single" w:color="F4B184" w:themeColor="accent2" w:sz="12" w:space="0"/>
          <w:right w:val="none" w:color="000000" w:sz="4" w:space="0"/>
        </w:tcBorders>
        <w:shd w:val="clear" w:color="FFFFFF" w:fill="auto"/>
      </w:tcPr>
    </w:tblStylePr>
    <w:tblStylePr w:type="lastRow">
      <w:rPr>
        <w:b/>
        <w:color w:val="404040"/>
      </w:rPr>
      <w:tblPr/>
      <w:tcPr>
        <w:tcBorders>
          <w:top w:val="single" w:color="F4B184" w:themeColor="accent2"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FBE5D6" w:fill="FBE5D6" w:themeFill="accent2" w:themeFillTint="32"/>
      </w:tcPr>
    </w:tblStylePr>
    <w:tblStylePr w:type="band1Horz">
      <w:rPr>
        <w:color w:val="404040"/>
        <w:sz w:val="22"/>
      </w:rPr>
      <w:tblPr/>
      <w:tcPr>
        <w:shd w:val="clear" w:color="FBE5D6"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blPr/>
      <w:tcPr>
        <w:tcBorders>
          <w:top w:val="none" w:color="000000" w:sz="4" w:space="0"/>
          <w:left w:val="none" w:color="000000" w:sz="4" w:space="0"/>
          <w:bottom w:val="single" w:color="A5A5A5" w:themeColor="accent3" w:sz="12" w:space="0"/>
          <w:right w:val="none" w:color="000000" w:sz="4" w:space="0"/>
        </w:tcBorders>
        <w:shd w:val="clear" w:color="FFFFFF" w:fill="auto"/>
      </w:tcPr>
    </w:tblStylePr>
    <w:tblStylePr w:type="lastRow">
      <w:rPr>
        <w:b/>
        <w:color w:val="404040"/>
      </w:rPr>
      <w:tblPr/>
      <w:tcPr>
        <w:tcBorders>
          <w:top w:val="single" w:color="A5A5A5" w:themeColor="accent3"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ECECEC" w:fill="ECECEC" w:themeFill="accent3" w:themeFillTint="34"/>
      </w:tcPr>
    </w:tblStylePr>
    <w:tblStylePr w:type="band1Horz">
      <w:rPr>
        <w:color w:val="404040"/>
        <w:sz w:val="22"/>
      </w:rPr>
      <w:tblPr/>
      <w:tcPr>
        <w:shd w:val="clear" w:color="ECECEC"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404040"/>
      </w:rPr>
      <w:tblPr/>
      <w:tcPr>
        <w:tcBorders>
          <w:top w:val="none" w:color="000000" w:sz="4" w:space="0"/>
          <w:left w:val="none" w:color="000000" w:sz="4" w:space="0"/>
          <w:bottom w:val="single" w:color="FFD865" w:themeColor="accent4" w:sz="12" w:space="0"/>
          <w:right w:val="none" w:color="000000" w:sz="4" w:space="0"/>
        </w:tcBorders>
        <w:shd w:val="clear" w:color="FFFFFF" w:fill="auto"/>
      </w:tcPr>
    </w:tblStylePr>
    <w:tblStylePr w:type="lastRow">
      <w:rPr>
        <w:b/>
        <w:color w:val="404040"/>
      </w:rPr>
      <w:tblPr/>
      <w:tcPr>
        <w:tcBorders>
          <w:top w:val="single" w:color="FFD865" w:themeColor="accent4"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FFF2CB" w:fill="FFF2CB" w:themeFill="accent4" w:themeFillTint="34"/>
      </w:tcPr>
    </w:tblStylePr>
    <w:tblStylePr w:type="band1Horz">
      <w:rPr>
        <w:color w:val="404040"/>
        <w:sz w:val="22"/>
      </w:rPr>
      <w:tblPr/>
      <w:tcPr>
        <w:shd w:val="clear" w:color="FFF2CB"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blPr/>
      <w:tcPr>
        <w:tcBorders>
          <w:top w:val="none" w:color="000000" w:sz="4" w:space="0"/>
          <w:left w:val="none" w:color="000000" w:sz="4" w:space="0"/>
          <w:bottom w:val="single" w:color="4472C4" w:themeColor="accent5" w:sz="12" w:space="0"/>
          <w:right w:val="none" w:color="000000" w:sz="4" w:space="0"/>
        </w:tcBorders>
        <w:shd w:val="clear" w:color="FFFFFF" w:fill="auto"/>
      </w:tcPr>
    </w:tblStylePr>
    <w:tblStylePr w:type="lastRow">
      <w:rPr>
        <w:b/>
        <w:color w:val="404040"/>
      </w:rPr>
      <w:tblPr/>
      <w:tcPr>
        <w:tcBorders>
          <w:top w:val="single" w:color="4472C4" w:themeColor="accent5"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D8E2F3" w:fill="D8E2F3" w:themeFill="accent5" w:themeFillTint="34"/>
      </w:tcPr>
    </w:tblStylePr>
    <w:tblStylePr w:type="band1Horz">
      <w:rPr>
        <w:color w:val="404040"/>
        <w:sz w:val="22"/>
      </w:rPr>
      <w:tblPr/>
      <w:tcPr>
        <w:shd w:val="clear" w:color="D8E2F3"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bl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Row">
      <w:rPr>
        <w:b/>
        <w:color w:val="404040"/>
      </w:rPr>
      <w:tblPr/>
      <w:tcPr>
        <w:tcBorders>
          <w:top w:val="single" w:color="70AD47" w:themeColor="accent6"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E1EFD8" w:fill="E1EFD8" w:themeFill="accent6" w:themeFillTint="34"/>
      </w:tcPr>
    </w:tblStylePr>
    <w:tblStylePr w:type="band1Horz">
      <w:rPr>
        <w:color w:val="404040"/>
        <w:sz w:val="22"/>
      </w:rPr>
      <w:tblPr/>
      <w:tcPr>
        <w:shd w:val="clear" w:color="E1EFD8"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DDEAF6" w:fill="DDEAF6" w:themeFill="accent1" w:themeFillTint="34"/>
      </w:tcPr>
    </w:tblStylePr>
    <w:tblStylePr w:type="band1Horz">
      <w:rPr>
        <w:color w:val="404040"/>
        <w:sz w:val="22"/>
      </w:rPr>
      <w:tblPr/>
      <w:tcPr>
        <w:shd w:val="clear" w:color="DDEAF6"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FBE5D6" w:fill="FBE5D6" w:themeFill="accent2" w:themeFillTint="32"/>
      </w:tcPr>
    </w:tblStylePr>
    <w:tblStylePr w:type="band1Horz">
      <w:rPr>
        <w:color w:val="404040"/>
        <w:sz w:val="22"/>
      </w:rPr>
      <w:tblPr/>
      <w:tcPr>
        <w:shd w:val="clear" w:color="FBE5D6"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ECECEC" w:fill="ECECEC" w:themeFill="accent3" w:themeFillTint="34"/>
      </w:tcPr>
    </w:tblStylePr>
    <w:tblStylePr w:type="band1Horz">
      <w:rPr>
        <w:color w:val="404040"/>
        <w:sz w:val="22"/>
      </w:rPr>
      <w:tblPr/>
      <w:tcPr>
        <w:shd w:val="clear" w:color="ECECEC"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FFF2CB" w:fill="FFF2CB" w:themeFill="accent4" w:themeFillTint="34"/>
      </w:tcPr>
    </w:tblStylePr>
    <w:tblStylePr w:type="band1Horz">
      <w:rPr>
        <w:color w:val="404040"/>
        <w:sz w:val="22"/>
      </w:rPr>
      <w:tblPr/>
      <w:tcPr>
        <w:shd w:val="clear" w:color="FFF2CB"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D8E2F3" w:fill="D8E2F3" w:themeFill="accent5" w:themeFillTint="34"/>
      </w:tcPr>
    </w:tblStylePr>
    <w:tblStylePr w:type="band1Horz">
      <w:rPr>
        <w:color w:val="404040"/>
        <w:sz w:val="22"/>
      </w:rPr>
      <w:tblPr/>
      <w:tcPr>
        <w:shd w:val="clear" w:color="D8E2F3"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E1EFD8" w:fill="E1EFD8" w:themeFill="accent6" w:themeFillTint="34"/>
      </w:tcPr>
    </w:tblStylePr>
    <w:tblStylePr w:type="band1Horz">
      <w:rPr>
        <w:color w:val="404040"/>
        <w:sz w:val="22"/>
      </w:rPr>
      <w:tblPr/>
      <w:tcPr>
        <w:shd w:val="clear" w:color="E1EFD8" w:fill="E1EFD8" w:themeFill="accent6" w:themeFillTint="34"/>
      </w:tcPr>
    </w:tblStylePr>
  </w:style>
  <w:style w:type="table" w:customStyle="1" w:styleId="-41">
    <w:name w:val="Таблица-сетка 41"/>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b/>
        <w:color w:val="FFFFFF"/>
        <w:sz w:val="22"/>
      </w:rPr>
      <w:tblPr/>
      <w:tcPr>
        <w:tcBorders>
          <w:top w:val="single" w:color="68A2D8" w:themeColor="accent1" w:sz="4" w:space="0"/>
          <w:left w:val="single" w:color="68A2D8" w:themeColor="accent1" w:sz="4" w:space="0"/>
          <w:bottom w:val="single" w:color="68A2D8" w:themeColor="accent1" w:sz="4" w:space="0"/>
          <w:right w:val="single" w:color="68A2D8" w:themeColor="accent1" w:sz="4" w:space="0"/>
        </w:tcBorders>
        <w:shd w:val="clear" w:color="68A2D8" w:fill="68A2D8" w:themeFill="accent1" w:themeFillTint="ea"/>
      </w:tcPr>
    </w:tblStylePr>
    <w:tblStylePr w:type="lastRow">
      <w:rPr>
        <w:b/>
        <w:color w:val="404040"/>
      </w:rPr>
      <w:tblPr/>
      <w:tcPr>
        <w:tcBorders>
          <w:top w:val="single" w:color="68A2D8" w:themeColor="accent1"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DEEBF6" w:fill="DEEBF6" w:themeFill="accent1" w:themeFillTint="32"/>
      </w:tcPr>
    </w:tblStylePr>
    <w:tblStylePr w:type="band1Horz">
      <w:rPr>
        <w:color w:val="404040"/>
        <w:sz w:val="22"/>
      </w:rPr>
      <w:tblPr/>
      <w:tcPr>
        <w:shd w:val="clear" w:color="DEEBF6"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b/>
        <w:color w:val="FFFFFF"/>
        <w:sz w:val="22"/>
      </w:rPr>
      <w:tblPr/>
      <w:tcPr>
        <w:tcBorders>
          <w:top w:val="single" w:color="F4B184" w:themeColor="accent2" w:sz="4" w:space="0"/>
          <w:left w:val="single" w:color="F4B184" w:themeColor="accent2" w:sz="4" w:space="0"/>
          <w:bottom w:val="single" w:color="F4B184" w:themeColor="accent2" w:sz="4" w:space="0"/>
          <w:right w:val="single" w:color="F4B184" w:themeColor="accent2" w:sz="4" w:space="0"/>
        </w:tcBorders>
        <w:shd w:val="clear" w:color="F4B184" w:fill="F4B184" w:themeFill="accent2" w:themeFillTint="97"/>
      </w:tcPr>
    </w:tblStylePr>
    <w:tblStylePr w:type="lastRow">
      <w:rPr>
        <w:b/>
        <w:color w:val="404040"/>
      </w:rPr>
      <w:tblPr/>
      <w:tcPr>
        <w:tcBorders>
          <w:top w:val="single" w:color="F4B184" w:themeColor="accent2"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FBE5D6" w:fill="FBE5D6" w:themeFill="accent2" w:themeFillTint="32"/>
      </w:tcPr>
    </w:tblStylePr>
    <w:tblStylePr w:type="band1Horz">
      <w:rPr>
        <w:color w:val="404040"/>
        <w:sz w:val="22"/>
      </w:rPr>
      <w:tblPr/>
      <w:tcPr>
        <w:shd w:val="clear" w:color="FBE5D6"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b/>
        <w:color w:val="FFFFFF"/>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5A5A5" w:fill="A5A5A5" w:themeFill="accent3" w:themeFillTint="fe"/>
      </w:tcPr>
    </w:tblStylePr>
    <w:tblStylePr w:type="lastRow">
      <w:rPr>
        <w:b/>
        <w:color w:val="404040"/>
      </w:rPr>
      <w:tblPr/>
      <w:tcPr>
        <w:tcBorders>
          <w:top w:val="single" w:color="A5A5A5" w:themeColor="accent3"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ECECEC" w:fill="ECECEC" w:themeFill="accent3" w:themeFillTint="34"/>
      </w:tcPr>
    </w:tblStylePr>
    <w:tblStylePr w:type="band1Horz">
      <w:rPr>
        <w:color w:val="404040"/>
        <w:sz w:val="22"/>
      </w:rPr>
      <w:tblPr/>
      <w:tcPr>
        <w:shd w:val="clear" w:color="ECECEC"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firstRow">
      <w:rPr>
        <w:b/>
        <w:color w:val="FFFFFF"/>
        <w:sz w:val="22"/>
      </w:rPr>
      <w:tblPr/>
      <w:tcPr>
        <w:tcBorders>
          <w:top w:val="single" w:color="FFD865" w:themeColor="accent4" w:sz="4" w:space="0"/>
          <w:left w:val="single" w:color="FFD865" w:themeColor="accent4" w:sz="4" w:space="0"/>
          <w:bottom w:val="single" w:color="FFD865" w:themeColor="accent4" w:sz="4" w:space="0"/>
          <w:right w:val="single" w:color="FFD865" w:themeColor="accent4" w:sz="4" w:space="0"/>
        </w:tcBorders>
        <w:shd w:val="clear" w:color="FFD865" w:fill="FFD865" w:themeFill="accent4" w:themeFillTint="9a"/>
      </w:tcPr>
    </w:tblStylePr>
    <w:tblStylePr w:type="lastRow">
      <w:rPr>
        <w:b/>
        <w:color w:val="404040"/>
      </w:rPr>
      <w:tblPr/>
      <w:tcPr>
        <w:tcBorders>
          <w:top w:val="single" w:color="FFD865" w:themeColor="accent4"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FFF2CB" w:fill="FFF2CB" w:themeFill="accent4" w:themeFillTint="34"/>
      </w:tcPr>
    </w:tblStylePr>
    <w:tblStylePr w:type="band1Horz">
      <w:rPr>
        <w:color w:val="404040"/>
        <w:sz w:val="22"/>
      </w:rPr>
      <w:tblPr/>
      <w:tcPr>
        <w:shd w:val="clear" w:color="FFF2CB"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b/>
        <w:color w:val="FFFFFF"/>
        <w:sz w:val="22"/>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fill="4472C4" w:themeFill="accent5"/>
      </w:tcPr>
    </w:tblStylePr>
    <w:tblStylePr w:type="lastRow">
      <w:rPr>
        <w:b/>
        <w:color w:val="404040"/>
      </w:rPr>
      <w:tblPr/>
      <w:tcPr>
        <w:tcBorders>
          <w:top w:val="single" w:color="4472C4" w:themeColor="accent5"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D8E2F3" w:fill="D8E2F3" w:themeFill="accent5" w:themeFillTint="34"/>
      </w:tcPr>
    </w:tblStylePr>
    <w:tblStylePr w:type="band1Horz">
      <w:rPr>
        <w:color w:val="404040"/>
        <w:sz w:val="22"/>
      </w:rPr>
      <w:tblPr/>
      <w:tcPr>
        <w:shd w:val="clear" w:color="D8E2F3"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color w:val="FFFFFF"/>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hemeFill="accent6"/>
      </w:tcPr>
    </w:tblStylePr>
    <w:tblStylePr w:type="lastRow">
      <w:rPr>
        <w:b/>
        <w:color w:val="404040"/>
      </w:rPr>
      <w:tblPr/>
      <w:tcPr>
        <w:tcBorders>
          <w:top w:val="single" w:color="70AD47" w:themeColor="accent6"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E1EFD8" w:fill="E1EFD8" w:themeFill="accent6" w:themeFillTint="34"/>
      </w:tcPr>
    </w:tblStylePr>
    <w:tblStylePr w:type="band1Horz">
      <w:rPr>
        <w:color w:val="404040"/>
        <w:sz w:val="22"/>
      </w:rPr>
      <w:tblPr/>
      <w:tcPr>
        <w:shd w:val="clear" w:color="E1EFD8"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color="FFFFFF" w:themeColor="light1" w:sz="4" w:space="0"/>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5B9BD5" w:fill="5B9BD5" w:themeFill="accent1"/>
      </w:tcPr>
    </w:tblStylePr>
    <w:tblStylePr w:type="lastRow">
      <w:rPr>
        <w:b/>
        <w:color w:val="FFFFFF"/>
        <w:sz w:val="22"/>
      </w:rPr>
      <w:tblPr/>
      <w:tcPr>
        <w:tcBorders>
          <w:top w:val="single" w:color="FFFFFF" w:themeColor="light1" w:sz="4" w:space="0"/>
        </w:tcBorders>
        <w:shd w:val="clear" w:color="5B9BD5" w:fill="5B9BD5" w:themeFill="accent1"/>
      </w:tcPr>
    </w:tblStylePr>
    <w:tblStylePr w:type="firstCol">
      <w:rPr>
        <w:b/>
        <w:color w:val="FFFFFF"/>
        <w:sz w:val="22"/>
      </w:rPr>
      <w:tblPr/>
      <w:tcPr>
        <w:shd w:val="clear" w:color="5B9BD5" w:fill="5B9BD5" w:themeFill="accent1"/>
      </w:tcPr>
    </w:tblStylePr>
    <w:tblStylePr w:type="lastCol">
      <w:rPr>
        <w:b/>
        <w:color w:val="FFFFFF"/>
        <w:sz w:val="22"/>
      </w:rPr>
      <w:tblPr/>
      <w:tcPr>
        <w:shd w:val="clear" w:color="5B9BD5" w:fill="5B9BD5" w:themeFill="accent1"/>
      </w:tcPr>
    </w:tblStylePr>
    <w:tblStylePr w:type="band1Vert">
      <w:tblPr/>
      <w:tcPr>
        <w:shd w:val="clear" w:color="B3D0EB" w:fill="B3D0EB" w:themeFill="accent1" w:themeFillTint="75"/>
      </w:tcPr>
    </w:tblStylePr>
    <w:tblStylePr w:type="band1Horz">
      <w:tblPr/>
      <w:tcPr>
        <w:shd w:val="clear" w:color="B3D0EB"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ED7D31" w:fill="ED7D31" w:themeFill="accent2"/>
      </w:tcPr>
    </w:tblStylePr>
    <w:tblStylePr w:type="lastRow">
      <w:rPr>
        <w:b/>
        <w:color w:val="FFFFFF"/>
        <w:sz w:val="22"/>
      </w:rPr>
      <w:tblPr/>
      <w:tcPr>
        <w:tcBorders>
          <w:top w:val="single" w:color="FFFFFF" w:themeColor="light1" w:sz="4" w:space="0"/>
        </w:tcBorders>
        <w:shd w:val="clear" w:color="ED7D31" w:fill="ED7D31" w:themeFill="accent2"/>
      </w:tcPr>
    </w:tblStylePr>
    <w:tblStylePr w:type="firstCol">
      <w:rPr>
        <w:b/>
        <w:color w:val="FFFFFF"/>
        <w:sz w:val="22"/>
      </w:rPr>
      <w:tblPr/>
      <w:tcPr>
        <w:shd w:val="clear" w:color="ED7D31" w:fill="ED7D31" w:themeFill="accent2"/>
      </w:tcPr>
    </w:tblStylePr>
    <w:tblStylePr w:type="lastCol">
      <w:rPr>
        <w:b/>
        <w:color w:val="FFFFFF"/>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A5A5A5" w:fill="A5A5A5" w:themeFill="accent3"/>
      </w:tcPr>
    </w:tblStylePr>
    <w:tblStylePr w:type="lastRow">
      <w:rPr>
        <w:b/>
        <w:color w:val="FFFFFF"/>
        <w:sz w:val="22"/>
      </w:rPr>
      <w:tblPr/>
      <w:tcPr>
        <w:tcBorders>
          <w:top w:val="single" w:color="FFFFFF" w:themeColor="light1" w:sz="4" w:space="0"/>
        </w:tcBorders>
        <w:shd w:val="clear" w:color="A5A5A5" w:fill="A5A5A5" w:themeFill="accent3"/>
      </w:tcPr>
    </w:tblStylePr>
    <w:tblStylePr w:type="firstCol">
      <w:rPr>
        <w:b/>
        <w:color w:val="FFFFFF"/>
        <w:sz w:val="22"/>
      </w:rPr>
      <w:tblPr/>
      <w:tcPr>
        <w:shd w:val="clear" w:color="A5A5A5" w:fill="A5A5A5" w:themeFill="accent3"/>
      </w:tcPr>
    </w:tblStylePr>
    <w:tblStylePr w:type="lastCol">
      <w:rPr>
        <w:b/>
        <w:color w:val="FFFFFF"/>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FFC000" w:fill="FFC000" w:themeFill="accent4"/>
      </w:tcPr>
    </w:tblStylePr>
    <w:tblStylePr w:type="lastRow">
      <w:rPr>
        <w:b/>
        <w:color w:val="FFFFFF"/>
        <w:sz w:val="22"/>
      </w:rPr>
      <w:tblPr/>
      <w:tcPr>
        <w:tcBorders>
          <w:top w:val="single" w:color="FFFFFF" w:themeColor="light1" w:sz="4" w:space="0"/>
        </w:tcBorders>
        <w:shd w:val="clear" w:color="FFC000" w:fill="FFC000" w:themeFill="accent4"/>
      </w:tcPr>
    </w:tblStylePr>
    <w:tblStylePr w:type="firstCol">
      <w:rPr>
        <w:b/>
        <w:color w:val="FFFFFF"/>
        <w:sz w:val="22"/>
      </w:rPr>
      <w:tblPr/>
      <w:tcPr>
        <w:shd w:val="clear" w:color="FFC000" w:fill="FFC000" w:themeFill="accent4"/>
      </w:tcPr>
    </w:tblStylePr>
    <w:tblStylePr w:type="lastCol">
      <w:rPr>
        <w:b/>
        <w:color w:val="FFFFFF"/>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4472C4" w:fill="4472C4" w:themeFill="accent5"/>
      </w:tcPr>
    </w:tblStylePr>
    <w:tblStylePr w:type="lastRow">
      <w:rPr>
        <w:b/>
        <w:color w:val="FFFFFF"/>
        <w:sz w:val="22"/>
      </w:rPr>
      <w:tblPr/>
      <w:tcPr>
        <w:tcBorders>
          <w:top w:val="single" w:color="FFFFFF" w:themeColor="light1" w:sz="4" w:space="0"/>
        </w:tcBorders>
        <w:shd w:val="clear" w:color="4472C4" w:fill="4472C4" w:themeFill="accent5"/>
      </w:tcPr>
    </w:tblStylePr>
    <w:tblStylePr w:type="firstCol">
      <w:rPr>
        <w:b/>
        <w:color w:val="FFFFFF"/>
        <w:sz w:val="22"/>
      </w:rPr>
      <w:tblPr/>
      <w:tcPr>
        <w:shd w:val="clear" w:color="4472C4" w:fill="4472C4" w:themeFill="accent5"/>
      </w:tcPr>
    </w:tblStylePr>
    <w:tblStylePr w:type="lastCol">
      <w:rPr>
        <w:b/>
        <w:color w:val="FFFFFF"/>
        <w:sz w:val="22"/>
      </w:rPr>
      <w:tblPr/>
      <w:tcPr>
        <w:shd w:val="clear" w:color="4472C4" w:fill="4472C4" w:themeFill="accent5"/>
      </w:tcPr>
    </w:tblStylePr>
    <w:tblStylePr w:type="band1Vert">
      <w:tblPr/>
      <w:tcPr>
        <w:shd w:val="clear" w:color="A9BEE4" w:fill="A9BEE4" w:themeFill="accent5" w:themeFillTint="75"/>
      </w:tcPr>
    </w:tblStylePr>
    <w:tblStylePr w:type="band1Horz">
      <w:tblPr/>
      <w:tcPr>
        <w:shd w:val="clear" w:color="A9BEE4"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blPr/>
      <w:tcPr>
        <w:shd w:val="clear" w:color="70AD47" w:fill="70AD47" w:themeFill="accent6"/>
      </w:tcPr>
    </w:tblStylePr>
    <w:tblStylePr w:type="lastRow">
      <w:rPr>
        <w:b/>
        <w:color w:val="FFFFFF"/>
        <w:sz w:val="22"/>
      </w:rPr>
      <w:tblPr/>
      <w:tcPr>
        <w:tcBorders>
          <w:top w:val="single" w:color="FFFFFF" w:themeColor="light1" w:sz="4" w:space="0"/>
        </w:tcBorders>
        <w:shd w:val="clear" w:color="70AD47" w:fill="70AD47" w:themeFill="accent6"/>
      </w:tcPr>
    </w:tblStylePr>
    <w:tblStylePr w:type="firstCol">
      <w:rPr>
        <w:b/>
        <w:color w:val="FFFFFF"/>
        <w:sz w:val="22"/>
      </w:rPr>
      <w:tblPr/>
      <w:tcPr>
        <w:shd w:val="clear" w:color="70AD47" w:fill="70AD47" w:themeFill="accent6"/>
      </w:tcPr>
    </w:tblStylePr>
    <w:tblStylePr w:type="lastCol">
      <w:rPr>
        <w:b/>
        <w:color w:val="FFFFFF"/>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blPr/>
      <w:tcPr>
        <w:tcBorders>
          <w:bottom w:val="single" w:color="7F7F7F"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firstRow">
      <w:rPr>
        <w:b/>
        <w:color w:val="ACCCEA" w:themeColor="accent1" w:themeTint="80" w:themeShade="95"/>
      </w:rPr>
      <w:tblPr/>
      <w:tcPr>
        <w:tcBorders>
          <w:bottom w:val="single" w:color="ACCCEA" w:themeColor="accent1" w:sz="12" w:space="0"/>
        </w:tcBorders>
      </w:tcPr>
    </w:tblStylePr>
    <w:tblStylePr w:type="lastRow">
      <w:rPr>
        <w:b/>
        <w:color w:val="ACCCEA" w:themeColor="accent1" w:themeTint="80" w:themeShade="95"/>
      </w:rPr>
      <w:tblPr/>
    </w:tblStylePr>
    <w:tblStylePr w:type="firstCol">
      <w:rPr>
        <w:b/>
        <w:color w:val="ACCCEA" w:themeColor="accent1" w:themeTint="80" w:themeShade="95"/>
      </w:rPr>
      <w:tblPr/>
    </w:tblStylePr>
    <w:tblStylePr w:type="lastCol">
      <w:rPr>
        <w:b/>
        <w:color w:val="ACCCEA" w:themeColor="accent1" w:themeTint="80" w:themeShade="95"/>
      </w:rPr>
      <w:tblPr/>
    </w:tblStylePr>
    <w:tblStylePr w:type="band1Vert">
      <w:tblPr/>
      <w:tcPr>
        <w:shd w:val="clear" w:color="DDEAF6" w:fill="DDEAF6" w:themeFill="accent1" w:themeFillTint="34"/>
      </w:tcPr>
    </w:tblStylePr>
    <w:tblStylePr w:type="band1Horz">
      <w:rPr>
        <w:color w:val="ACCCEA" w:themeColor="accent1" w:themeTint="80" w:themeShade="95"/>
        <w:sz w:val="22"/>
      </w:rPr>
      <w:tblPr/>
      <w:tcPr>
        <w:shd w:val="clear" w:color="DDEAF6" w:fill="DDEAF6" w:themeFill="accent1" w:themeFillTint="34"/>
      </w:tcPr>
    </w:tblStylePr>
    <w:tblStylePr w:type="band2Horz">
      <w:rPr>
        <w:color w:val="ACCCEA"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rPr>
      <w:tblPr/>
      <w:tcPr>
        <w:tcBorders>
          <w:bottom w:val="single" w:color="F4B184" w:themeColor="accent2" w:sz="12" w:space="0"/>
        </w:tcBorders>
      </w:tcPr>
    </w:tblStylePr>
    <w:tblStylePr w:type="lastRow">
      <w:rPr>
        <w:b/>
        <w:color w:val="F4B184" w:themeColor="accent2" w:themeTint="97" w:themeShade="95"/>
      </w:rPr>
      <w:tblPr/>
    </w:tblStylePr>
    <w:tblStylePr w:type="firstCol">
      <w:rPr>
        <w:b/>
        <w:color w:val="F4B184" w:themeColor="accent2" w:themeTint="97" w:themeShade="95"/>
      </w:rPr>
      <w:tblPr/>
    </w:tblStylePr>
    <w:tblStylePr w:type="lastCol">
      <w:rPr>
        <w:b/>
        <w:color w:val="F4B184" w:themeColor="accent2" w:themeTint="97" w:themeShade="95"/>
      </w:rPr>
      <w:tbl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rPr>
      <w:tblPr/>
      <w:tcPr>
        <w:tcBorders>
          <w:bottom w:val="single" w:color="A5A5A5" w:themeColor="accent3" w:sz="12" w:space="0"/>
        </w:tcBorders>
      </w:tcPr>
    </w:tblStylePr>
    <w:tblStylePr w:type="lastRow">
      <w:rPr>
        <w:b/>
        <w:color w:val="A5A5A5" w:themeColor="accent3" w:themeTint="fe" w:themeShade="95"/>
      </w:rPr>
      <w:tblPr/>
    </w:tblStylePr>
    <w:tblStylePr w:type="firstCol">
      <w:rPr>
        <w:b/>
        <w:color w:val="A5A5A5" w:themeColor="accent3" w:themeTint="fe" w:themeShade="95"/>
      </w:rPr>
      <w:tblPr/>
    </w:tblStylePr>
    <w:tblStylePr w:type="lastCol">
      <w:rPr>
        <w:b/>
        <w:color w:val="A5A5A5" w:themeColor="accent3" w:themeTint="fe" w:themeShade="95"/>
      </w:rPr>
      <w:tbl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rPr>
      <w:tblPr/>
      <w:tcPr>
        <w:tcBorders>
          <w:bottom w:val="single" w:color="FFD865" w:themeColor="accent4" w:sz="12" w:space="0"/>
        </w:tcBorders>
      </w:tcPr>
    </w:tblStylePr>
    <w:tblStylePr w:type="lastRow">
      <w:rPr>
        <w:b/>
        <w:color w:val="FFD865" w:themeColor="accent4" w:themeTint="9a" w:themeShade="95"/>
      </w:rPr>
      <w:tblPr/>
    </w:tblStylePr>
    <w:tblStylePr w:type="firstCol">
      <w:rPr>
        <w:b/>
        <w:color w:val="FFD865" w:themeColor="accent4" w:themeTint="9a" w:themeShade="95"/>
      </w:rPr>
      <w:tblPr/>
    </w:tblStylePr>
    <w:tblStylePr w:type="lastCol">
      <w:rPr>
        <w:b/>
        <w:color w:val="FFD865" w:themeColor="accent4" w:themeTint="9a" w:themeShade="95"/>
      </w:rPr>
      <w:tbl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5" w:themeColor="accent5" w:themeShade="95"/>
      </w:rPr>
      <w:tblPr/>
      <w:tcPr>
        <w:tcBorders>
          <w:bottom w:val="single" w:color="4472C4" w:themeColor="accent5" w:sz="12" w:space="0"/>
        </w:tcBorders>
      </w:tcPr>
    </w:tblStylePr>
    <w:tblStylePr w:type="lastRow">
      <w:rPr>
        <w:b/>
        <w:color w:val="254175" w:themeColor="accent5" w:themeShade="95"/>
      </w:rPr>
      <w:tblPr/>
    </w:tblStylePr>
    <w:tblStylePr w:type="firstCol">
      <w:rPr>
        <w:b/>
        <w:color w:val="254175" w:themeColor="accent5" w:themeShade="95"/>
      </w:rPr>
      <w:tblPr/>
    </w:tblStylePr>
    <w:tblStylePr w:type="lastCol">
      <w:rPr>
        <w:b/>
        <w:color w:val="254175" w:themeColor="accent5" w:themeShade="95"/>
      </w:rPr>
      <w:tblPr/>
    </w:tblStylePr>
    <w:tblStylePr w:type="band1Vert">
      <w:tblPr/>
      <w:tcPr>
        <w:shd w:val="clear" w:color="D8E2F3" w:fill="D8E2F3" w:themeFill="accent5" w:themeFillTint="34"/>
      </w:tcPr>
    </w:tblStylePr>
    <w:tblStylePr w:type="band1Horz">
      <w:rPr>
        <w:color w:val="254175" w:themeColor="accent5" w:themeShade="95"/>
        <w:sz w:val="22"/>
      </w:rPr>
      <w:tblPr/>
      <w:tcPr>
        <w:shd w:val="clear" w:color="D8E2F3" w:fill="D8E2F3" w:themeFill="accent5" w:themeFillTint="34"/>
      </w:tcPr>
    </w:tblStylePr>
    <w:tblStylePr w:type="band2Horz">
      <w:rPr>
        <w:color w:val="254175"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5" w:themeColor="accent5" w:themeShade="95"/>
      </w:rPr>
      <w:tblPr/>
      <w:tcPr>
        <w:tcBorders>
          <w:bottom w:val="single" w:color="70AD47" w:themeColor="accent6" w:sz="12" w:space="0"/>
        </w:tcBorders>
      </w:tcPr>
    </w:tblStylePr>
    <w:tblStylePr w:type="lastRow">
      <w:rPr>
        <w:b/>
        <w:color w:val="254175" w:themeColor="accent5" w:themeShade="95"/>
      </w:rPr>
      <w:tblPr/>
    </w:tblStylePr>
    <w:tblStylePr w:type="firstCol">
      <w:rPr>
        <w:b/>
        <w:color w:val="254175" w:themeColor="accent5" w:themeShade="95"/>
      </w:rPr>
      <w:tblPr/>
    </w:tblStylePr>
    <w:tblStylePr w:type="lastCol">
      <w:rPr>
        <w:b/>
        <w:color w:val="254175" w:themeColor="accent5" w:themeShade="95"/>
      </w:rPr>
      <w:tblPr/>
    </w:tblStylePr>
    <w:tblStylePr w:type="band1Vert">
      <w:tblPr/>
      <w:tcPr>
        <w:shd w:val="clear" w:color="E1EFD8" w:fill="E1EFD8" w:themeFill="accent6" w:themeFillTint="34"/>
      </w:tcPr>
    </w:tblStylePr>
    <w:tblStylePr w:type="band1Horz">
      <w:rPr>
        <w:color w:val="254175" w:themeColor="accent5" w:themeShade="95"/>
        <w:sz w:val="22"/>
      </w:rPr>
      <w:tblPr/>
      <w:tcPr>
        <w:shd w:val="clear" w:color="E1EFD8" w:fill="E1EFD8" w:themeFill="accent6" w:themeFillTint="34"/>
      </w:tcPr>
    </w:tblStylePr>
    <w:tblStylePr w:type="band2Horz">
      <w:rPr>
        <w:color w:val="254175" w:themeColor="accent5" w:themeShade="95"/>
        <w:sz w:val="22"/>
      </w:rPr>
      <w:tblPr/>
    </w:tblStylePr>
  </w:style>
  <w:style w:type="table" w:customStyle="1" w:styleId="-71">
    <w:name w:val="Таблица-сетка 7 цветная1"/>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b/>
        <w:color w:val="7F7F7F"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firstRow">
      <w:rPr>
        <w:b/>
        <w:color w:val="ACCCEA" w:themeColor="accent1" w:themeTint="80" w:themeShade="95"/>
        <w:sz w:val="22"/>
      </w:rPr>
      <w:tblPr/>
      <w:tcPr>
        <w:tcBorders>
          <w:top w:val="none" w:color="auto" w:sz="0" w:space="0"/>
          <w:left w:val="none" w:color="auto" w:sz="0" w:space="0"/>
          <w:bottom w:val="single" w:color="ACCCEA" w:themeColor="accent1" w:sz="4" w:space="0"/>
          <w:right w:val="none" w:color="auto" w:sz="0" w:space="0"/>
        </w:tcBorders>
        <w:shd w:val="clear" w:color="FFFFFF" w:fill="FFFFFF" w:themeFill="light1"/>
      </w:tcPr>
    </w:tblStylePr>
    <w:tblStylePr w:type="lastRow">
      <w:rPr>
        <w:b/>
        <w:color w:val="ACCCEA" w:themeColor="accent1" w:themeTint="80" w:themeShade="95"/>
        <w:sz w:val="22"/>
      </w:rPr>
      <w:tblPr/>
      <w:tcPr>
        <w:tcBorders>
          <w:top w:val="single" w:color="ACCCEA"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CCCEA" w:themeColor="accent1" w:themeTint="80" w:themeShade="95"/>
        <w:sz w:val="22"/>
      </w:rPr>
      <w:tblPr/>
      <w:tcPr>
        <w:tcBorders>
          <w:top w:val="none" w:color="auto" w:sz="0" w:space="0"/>
          <w:left w:val="none" w:color="auto" w:sz="0" w:space="0"/>
          <w:bottom w:val="none" w:color="auto" w:sz="0" w:space="0"/>
          <w:right w:val="single" w:color="ACCCEA" w:themeColor="accent1" w:sz="4" w:space="0"/>
        </w:tcBorders>
        <w:shd w:val="clear" w:color="FFFFFF" w:fill="auto"/>
      </w:tcPr>
    </w:tblStylePr>
    <w:tblStylePr w:type="lastCol">
      <w:rPr>
        <w:i/>
        <w:color w:val="ACCCEA" w:themeColor="accent1" w:themeTint="80" w:themeShade="95"/>
        <w:sz w:val="22"/>
      </w:rPr>
      <w:tblPr/>
      <w:tcPr>
        <w:tcBorders>
          <w:top w:val="none" w:color="auto" w:sz="0" w:space="0"/>
          <w:left w:val="single" w:color="ACCCEA" w:themeColor="accent1" w:sz="4" w:space="0"/>
          <w:bottom w:val="none" w:color="auto" w:sz="0" w:space="0"/>
          <w:right w:val="none" w:color="auto" w:sz="0" w:space="0"/>
        </w:tcBorders>
        <w:shd w:val="clear" w:color="FFFFFF" w:fill="auto"/>
      </w:tcPr>
    </w:tblStylePr>
    <w:tblStylePr w:type="band1Vert">
      <w:tblPr/>
      <w:tcPr>
        <w:shd w:val="clear" w:color="DDEAF6" w:fill="DDEAF6" w:themeFill="accent1" w:themeFillTint="34"/>
      </w:tcPr>
    </w:tblStylePr>
    <w:tblStylePr w:type="band1Horz">
      <w:rPr>
        <w:color w:val="ACCCEA" w:themeColor="accent1" w:themeTint="80" w:themeShade="95"/>
        <w:sz w:val="22"/>
      </w:rPr>
      <w:tblPr/>
      <w:tcPr>
        <w:shd w:val="clear" w:color="DDEAF6" w:fill="DDEAF6" w:themeFill="accent1" w:themeFillTint="34"/>
      </w:tcPr>
    </w:tblStylePr>
    <w:tblStylePr w:type="band2Horz">
      <w:rPr>
        <w:color w:val="ACCCEA"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sz w:val="22"/>
      </w:rPr>
      <w:tblPr/>
      <w:tcPr>
        <w:tcBorders>
          <w:top w:val="none" w:color="auto" w:sz="0" w:space="0"/>
          <w:left w:val="none" w:color="auto" w:sz="0" w:space="0"/>
          <w:bottom w:val="single" w:color="F4B184" w:themeColor="accent2" w:sz="4" w:space="0"/>
          <w:right w:val="none" w:color="auto" w:sz="0" w:space="0"/>
        </w:tcBorders>
        <w:shd w:val="clear" w:color="FFFFFF" w:fill="FFFFFF" w:themeFill="light1"/>
      </w:tcPr>
    </w:tblStylePr>
    <w:tblStylePr w:type="lastRow">
      <w:rPr>
        <w:b/>
        <w:color w:val="F4B184" w:themeColor="accent2" w:themeTint="97" w:themeShade="95"/>
        <w:sz w:val="22"/>
      </w:rPr>
      <w:tblPr/>
      <w:tcPr>
        <w:tcBorders>
          <w:top w:val="single" w:color="F4B184"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4B184" w:themeColor="accent2" w:themeTint="97" w:themeShade="95"/>
        <w:sz w:val="22"/>
      </w:rPr>
      <w:tblPr/>
      <w:tcPr>
        <w:tcBorders>
          <w:top w:val="none" w:color="auto" w:sz="0" w:space="0"/>
          <w:left w:val="none" w:color="auto" w:sz="0" w:space="0"/>
          <w:bottom w:val="none" w:color="auto" w:sz="0" w:space="0"/>
          <w:right w:val="single" w:color="F4B184" w:themeColor="accent2" w:sz="4" w:space="0"/>
        </w:tcBorders>
        <w:shd w:val="clear" w:color="FFFFFF" w:fill="auto"/>
      </w:tcPr>
    </w:tblStylePr>
    <w:tblStylePr w:type="lastCol">
      <w:rPr>
        <w:i/>
        <w:color w:val="F4B184" w:themeColor="accent2" w:themeTint="97" w:themeShade="95"/>
        <w:sz w:val="22"/>
      </w:rPr>
      <w:tblPr/>
      <w:tcPr>
        <w:tcBorders>
          <w:top w:val="none" w:color="auto" w:sz="0" w:space="0"/>
          <w:left w:val="single" w:color="F4B184" w:themeColor="accent2" w:sz="4" w:space="0"/>
          <w:bottom w:val="none" w:color="auto" w:sz="0" w:space="0"/>
          <w:right w:val="none" w:color="auto" w:sz="0" w:space="0"/>
        </w:tcBorders>
        <w:shd w:val="clear" w:color="FFFFFF" w:fill="auto"/>
      </w:tc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sz w:val="22"/>
      </w:rPr>
      <w:tblPr/>
      <w:tcPr>
        <w:tcBorders>
          <w:top w:val="none" w:color="auto" w:sz="0" w:space="0"/>
          <w:left w:val="none" w:color="auto" w:sz="0" w:space="0"/>
          <w:bottom w:val="single" w:color="A5A5A5" w:themeColor="accent3" w:sz="4" w:space="0"/>
          <w:right w:val="none" w:color="auto" w:sz="0" w:space="0"/>
        </w:tcBorders>
        <w:shd w:val="clear" w:color="FFFFFF" w:fill="FFFFFF" w:themeFill="light1"/>
      </w:tcPr>
    </w:tblStylePr>
    <w:tblStylePr w:type="lastRow">
      <w:rPr>
        <w:b/>
        <w:color w:val="A5A5A5" w:themeColor="accent3" w:themeTint="fe" w:themeShade="95"/>
        <w:sz w:val="22"/>
      </w:rPr>
      <w:tblPr/>
      <w:tcPr>
        <w:tcBorders>
          <w:top w:val="single" w:color="A5A5A5"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5A5A5" w:themeColor="accent3" w:themeTint="fe" w:themeShade="95"/>
        <w:sz w:val="22"/>
      </w:rPr>
      <w:tblPr/>
      <w:tcPr>
        <w:tcBorders>
          <w:top w:val="none" w:color="auto" w:sz="0" w:space="0"/>
          <w:left w:val="none" w:color="auto" w:sz="0" w:space="0"/>
          <w:bottom w:val="none" w:color="auto" w:sz="0" w:space="0"/>
          <w:right w:val="single" w:color="A5A5A5" w:themeColor="accent3" w:sz="4" w:space="0"/>
        </w:tcBorders>
        <w:shd w:val="clear" w:color="FFFFFF" w:fill="auto"/>
      </w:tcPr>
    </w:tblStylePr>
    <w:tblStylePr w:type="lastCol">
      <w:rPr>
        <w:i/>
        <w:color w:val="A5A5A5" w:themeColor="accent3" w:themeTint="fe" w:themeShade="95"/>
        <w:sz w:val="22"/>
      </w:rPr>
      <w:tblPr/>
      <w:tcPr>
        <w:tcBorders>
          <w:top w:val="none" w:color="auto" w:sz="0" w:space="0"/>
          <w:left w:val="single" w:color="A5A5A5" w:themeColor="accent3" w:sz="4" w:space="0"/>
          <w:bottom w:val="none" w:color="auto" w:sz="0" w:space="0"/>
          <w:right w:val="none" w:color="auto" w:sz="0" w:space="0"/>
        </w:tcBorders>
        <w:shd w:val="clear" w:color="FFFFFF" w:fill="auto"/>
      </w:tc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sz w:val="22"/>
      </w:rPr>
      <w:tblPr/>
      <w:tcPr>
        <w:tcBorders>
          <w:top w:val="none" w:color="auto" w:sz="0" w:space="0"/>
          <w:left w:val="none" w:color="auto" w:sz="0" w:space="0"/>
          <w:bottom w:val="single" w:color="FFD865" w:themeColor="accent4" w:sz="4" w:space="0"/>
          <w:right w:val="none" w:color="auto" w:sz="0" w:space="0"/>
        </w:tcBorders>
        <w:shd w:val="clear" w:color="FFFFFF" w:fill="FFFFFF" w:themeFill="light1"/>
      </w:tcPr>
    </w:tblStylePr>
    <w:tblStylePr w:type="lastRow">
      <w:rPr>
        <w:b/>
        <w:color w:val="FFD865" w:themeColor="accent4" w:themeTint="9a" w:themeShade="95"/>
        <w:sz w:val="22"/>
      </w:rPr>
      <w:tblPr/>
      <w:tcPr>
        <w:tcBorders>
          <w:top w:val="single" w:color="FFD865"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FD865" w:themeColor="accent4" w:themeTint="9a" w:themeShade="95"/>
        <w:sz w:val="22"/>
      </w:rPr>
      <w:tblPr/>
      <w:tcPr>
        <w:tcBorders>
          <w:top w:val="none" w:color="auto" w:sz="0" w:space="0"/>
          <w:left w:val="none" w:color="auto" w:sz="0" w:space="0"/>
          <w:bottom w:val="none" w:color="auto" w:sz="0" w:space="0"/>
          <w:right w:val="single" w:color="FFD865" w:themeColor="accent4" w:sz="4" w:space="0"/>
        </w:tcBorders>
        <w:shd w:val="clear" w:color="FFFFFF" w:fill="auto"/>
      </w:tcPr>
    </w:tblStylePr>
    <w:tblStylePr w:type="lastCol">
      <w:rPr>
        <w:i/>
        <w:color w:val="FFD865" w:themeColor="accent4" w:themeTint="9a" w:themeShade="95"/>
        <w:sz w:val="22"/>
      </w:rPr>
      <w:tblPr/>
      <w:tcPr>
        <w:tcBorders>
          <w:top w:val="none" w:color="auto" w:sz="0" w:space="0"/>
          <w:left w:val="single" w:color="FFD865" w:themeColor="accent4" w:sz="4" w:space="0"/>
          <w:bottom w:val="none" w:color="auto" w:sz="0" w:space="0"/>
          <w:right w:val="none" w:color="auto" w:sz="0" w:space="0"/>
        </w:tcBorders>
        <w:shd w:val="clear" w:color="FFFFFF" w:fill="auto"/>
      </w:tc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b/>
        <w:color w:val="254175" w:themeColor="accent5" w:themeShade="95"/>
        <w:sz w:val="22"/>
      </w:rPr>
      <w:tblPr/>
      <w:tcPr>
        <w:tcBorders>
          <w:top w:val="none" w:color="auto" w:sz="0" w:space="0"/>
          <w:left w:val="none" w:color="auto" w:sz="0" w:space="0"/>
          <w:bottom w:val="single" w:color="95AFDD" w:themeColor="accent5" w:sz="4" w:space="0"/>
          <w:right w:val="none" w:color="auto" w:sz="0" w:space="0"/>
        </w:tcBorders>
        <w:shd w:val="clear" w:color="FFFFFF" w:fill="FFFFFF" w:themeFill="light1"/>
      </w:tcPr>
    </w:tblStylePr>
    <w:tblStylePr w:type="lastRow">
      <w:rPr>
        <w:b/>
        <w:color w:val="254175" w:themeColor="accent5" w:themeShade="95"/>
        <w:sz w:val="22"/>
      </w:rPr>
      <w:tblPr/>
      <w:tcPr>
        <w:tcBorders>
          <w:top w:val="single" w:color="95AFDD"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54175" w:themeColor="accent5" w:themeShade="95"/>
        <w:sz w:val="22"/>
      </w:rPr>
      <w:tblPr/>
      <w:tcPr>
        <w:tcBorders>
          <w:top w:val="none" w:color="auto" w:sz="0" w:space="0"/>
          <w:left w:val="none" w:color="auto" w:sz="0" w:space="0"/>
          <w:bottom w:val="none" w:color="auto" w:sz="0" w:space="0"/>
          <w:right w:val="single" w:color="95AFDD" w:themeColor="accent5" w:sz="4" w:space="0"/>
        </w:tcBorders>
        <w:shd w:val="clear" w:color="FFFFFF" w:fill="auto"/>
      </w:tcPr>
    </w:tblStylePr>
    <w:tblStylePr w:type="lastCol">
      <w:rPr>
        <w:i/>
        <w:color w:val="254175" w:themeColor="accent5" w:themeShade="95"/>
        <w:sz w:val="22"/>
      </w:rPr>
      <w:tblPr/>
      <w:tcPr>
        <w:tcBorders>
          <w:top w:val="none" w:color="auto" w:sz="0" w:space="0"/>
          <w:left w:val="single" w:color="95AFDD" w:themeColor="accent5" w:sz="4" w:space="0"/>
          <w:bottom w:val="none" w:color="auto" w:sz="0" w:space="0"/>
          <w:right w:val="none" w:color="auto" w:sz="0" w:space="0"/>
        </w:tcBorders>
        <w:shd w:val="clear" w:color="FFFFFF" w:fill="auto"/>
      </w:tcPr>
    </w:tblStylePr>
    <w:tblStylePr w:type="band1Vert">
      <w:tblPr/>
      <w:tcPr>
        <w:shd w:val="clear" w:color="D8E2F3" w:fill="D8E2F3" w:themeFill="accent5" w:themeFillTint="34"/>
      </w:tcPr>
    </w:tblStylePr>
    <w:tblStylePr w:type="band1Horz">
      <w:rPr>
        <w:color w:val="254175" w:themeColor="accent5" w:themeShade="95"/>
        <w:sz w:val="22"/>
      </w:rPr>
      <w:tblPr/>
      <w:tcPr>
        <w:shd w:val="clear" w:color="D8E2F3" w:fill="D8E2F3" w:themeFill="accent5" w:themeFillTint="34"/>
      </w:tcPr>
    </w:tblStylePr>
    <w:tblStylePr w:type="band2Horz">
      <w:rPr>
        <w:color w:val="254175"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color w:val="416429" w:themeColor="accent6" w:themeShade="95"/>
        <w:sz w:val="22"/>
      </w:rPr>
      <w:tblPr/>
      <w:tcPr>
        <w:tcBorders>
          <w:top w:val="none" w:color="auto" w:sz="0" w:space="0"/>
          <w:left w:val="none" w:color="auto" w:sz="0" w:space="0"/>
          <w:bottom w:val="single" w:color="ADD394" w:themeColor="accent6" w:sz="4" w:space="0"/>
          <w:right w:val="none" w:color="auto" w:sz="0" w:space="0"/>
        </w:tcBorders>
        <w:shd w:val="clear" w:color="FFFFFF" w:fill="FFFFFF" w:themeFill="light1"/>
      </w:tcPr>
    </w:tblStylePr>
    <w:tblStylePr w:type="lastRow">
      <w:rPr>
        <w:b/>
        <w:color w:val="416429" w:themeColor="accent6" w:themeShade="95"/>
        <w:sz w:val="22"/>
      </w:rPr>
      <w:tblPr/>
      <w:tcPr>
        <w:tcBorders>
          <w:top w:val="single" w:color="ADD394"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416429" w:themeColor="accent6" w:themeShade="95"/>
        <w:sz w:val="22"/>
      </w:rPr>
      <w:tblPr/>
      <w:tcPr>
        <w:tcBorders>
          <w:top w:val="none" w:color="auto" w:sz="0" w:space="0"/>
          <w:left w:val="none" w:color="auto" w:sz="0" w:space="0"/>
          <w:bottom w:val="none" w:color="auto" w:sz="0" w:space="0"/>
          <w:right w:val="single" w:color="ADD394" w:themeColor="accent6" w:sz="4" w:space="0"/>
        </w:tcBorders>
        <w:shd w:val="clear" w:color="FFFFFF" w:fill="auto"/>
      </w:tcPr>
    </w:tblStylePr>
    <w:tblStylePr w:type="lastCol">
      <w:rPr>
        <w:i/>
        <w:color w:val="416429" w:themeColor="accent6" w:themeShade="95"/>
        <w:sz w:val="22"/>
      </w:rPr>
      <w:tblPr/>
      <w:tcPr>
        <w:tcBorders>
          <w:top w:val="none" w:color="auto" w:sz="0" w:space="0"/>
          <w:left w:val="single" w:color="ADD394" w:themeColor="accent6" w:sz="4" w:space="0"/>
          <w:bottom w:val="none" w:color="auto" w:sz="0" w:space="0"/>
          <w:right w:val="none" w:color="auto" w:sz="0" w:space="0"/>
        </w:tcBorders>
        <w:shd w:val="clear" w:color="FFFFFF" w:fill="auto"/>
      </w:tcPr>
    </w:tblStylePr>
    <w:tblStylePr w:type="band1Vert">
      <w:tblPr/>
      <w:tcPr>
        <w:shd w:val="clear" w:color="E1EFD8" w:fill="E1EFD8" w:themeFill="accent6" w:themeFillTint="34"/>
      </w:tcPr>
    </w:tblStylePr>
    <w:tblStylePr w:type="band1Horz">
      <w:rPr>
        <w:color w:val="416429" w:themeColor="accent6" w:themeShade="95"/>
        <w:sz w:val="22"/>
      </w:rPr>
      <w:tblPr/>
      <w:tcPr>
        <w:shd w:val="clear" w:color="E1EFD8" w:fill="E1EFD8" w:themeFill="accent6" w:themeFillTint="34"/>
      </w:tcPr>
    </w:tblStylePr>
    <w:tblStylePr w:type="band2Horz">
      <w:rPr>
        <w:color w:val="416429" w:themeColor="accent6" w:themeShade="95"/>
        <w:sz w:val="22"/>
      </w:rPr>
      <w:tbl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5B9BD5" w:themeColor="accent1" w:sz="4" w:space="0"/>
          <w:right w:val="none" w:color="000000" w:sz="4" w:space="0"/>
        </w:tcBorders>
      </w:tcPr>
    </w:tblStylePr>
    <w:tblStylePr w:type="lastRow">
      <w:rPr>
        <w:b/>
        <w:color w:val="404040"/>
      </w:rPr>
      <w:tblPr/>
      <w:tcPr>
        <w:tcBorders>
          <w:top w:val="single" w:color="5B9BD5" w:themeColor="accent1"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5E5F4" w:fill="D5E5F4" w:themeFill="accent1" w:themeFillTint="40"/>
      </w:tcPr>
    </w:tblStylePr>
    <w:tblStylePr w:type="band1Horz">
      <w:tblPr/>
      <w:tcPr>
        <w:shd w:val="clear" w:color="D5E5F4"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ED7D31" w:themeColor="accent2" w:sz="4" w:space="0"/>
          <w:right w:val="none" w:color="000000" w:sz="4" w:space="0"/>
        </w:tcBorders>
      </w:tcPr>
    </w:tblStylePr>
    <w:tblStylePr w:type="lastRow">
      <w:rPr>
        <w:b/>
        <w:color w:val="404040"/>
      </w:rPr>
      <w:tblPr/>
      <w:tcPr>
        <w:tcBorders>
          <w:top w:val="single" w:color="ED7D31" w:themeColor="accent2"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A5A5A5" w:themeColor="accent3" w:sz="4" w:space="0"/>
          <w:right w:val="none" w:color="000000" w:sz="4" w:space="0"/>
        </w:tcBorders>
      </w:tcPr>
    </w:tblStylePr>
    <w:tblStylePr w:type="lastRow">
      <w:rPr>
        <w:b/>
        <w:color w:val="404040"/>
      </w:rPr>
      <w:tblPr/>
      <w:tcPr>
        <w:tcBorders>
          <w:top w:val="single" w:color="A5A5A5" w:themeColor="accent3"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FFC000" w:themeColor="accent4" w:sz="4" w:space="0"/>
          <w:right w:val="none" w:color="000000" w:sz="4" w:space="0"/>
        </w:tcBorders>
      </w:tcPr>
    </w:tblStylePr>
    <w:tblStylePr w:type="lastRow">
      <w:rPr>
        <w:b/>
        <w:color w:val="404040"/>
      </w:rPr>
      <w:tblPr/>
      <w:tcPr>
        <w:tcBorders>
          <w:top w:val="single" w:color="FFC000" w:themeColor="accent4"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4472C4" w:themeColor="accent5" w:sz="4" w:space="0"/>
          <w:right w:val="none" w:color="000000" w:sz="4" w:space="0"/>
        </w:tcBorders>
      </w:tcPr>
    </w:tblStylePr>
    <w:tblStylePr w:type="lastRow">
      <w:rPr>
        <w:b/>
        <w:color w:val="404040"/>
      </w:rPr>
      <w:tblPr/>
      <w:tcPr>
        <w:tcBorders>
          <w:top w:val="single" w:color="4472C4" w:themeColor="accent5"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CFDBF0" w:fill="CFDBF0" w:themeFill="accent5" w:themeFillTint="40"/>
      </w:tcPr>
    </w:tblStylePr>
    <w:tblStylePr w:type="band1Horz">
      <w:tblPr/>
      <w:tcPr>
        <w:shd w:val="clear" w:color="CFDBF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color="000000" w:sz="4" w:space="0"/>
          <w:left w:val="none" w:color="000000" w:sz="4" w:space="0"/>
          <w:bottom w:val="single" w:color="70AD47" w:themeColor="accent6" w:sz="4" w:space="0"/>
          <w:right w:val="none" w:color="000000" w:sz="4" w:space="0"/>
        </w:tcBorders>
      </w:tcPr>
    </w:tblStylePr>
    <w:tblStylePr w:type="lastRow">
      <w:rPr>
        <w:b/>
        <w:color w:val="404040"/>
      </w:rPr>
      <w:tblPr/>
      <w:tcPr>
        <w:tcBorders>
          <w:top w:val="single" w:color="70AD47" w:themeColor="accent6"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color w:val="404040"/>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color w:val="404040"/>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b/>
        <w:color w:val="404040"/>
        <w:sz w:val="22"/>
      </w:rPr>
      <w:tblPr/>
      <w:tcPr>
        <w:tcBorders>
          <w:top w:val="single" w:color="A2C6E7" w:themeColor="accent1" w:sz="4" w:space="0"/>
          <w:left w:val="none" w:color="000000" w:sz="4" w:space="0"/>
          <w:bottom w:val="single" w:color="A2C6E7" w:themeColor="accent1" w:sz="4" w:space="0"/>
          <w:right w:val="none" w:color="000000" w:sz="4" w:space="0"/>
        </w:tcBorders>
      </w:tcPr>
    </w:tblStylePr>
    <w:tblStylePr w:type="lastRow">
      <w:rPr>
        <w:b/>
        <w:color w:val="404040"/>
        <w:sz w:val="22"/>
      </w:rPr>
      <w:tblPr/>
      <w:tcPr>
        <w:tcBorders>
          <w:top w:val="single" w:color="A2C6E7" w:themeColor="accent1" w:sz="4" w:space="0"/>
          <w:left w:val="none" w:color="000000" w:sz="4" w:space="0"/>
          <w:bottom w:val="single" w:color="A2C6E7" w:themeColor="accent1"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5E5F4" w:fill="D5E5F4" w:themeFill="accent1" w:themeFillTint="40"/>
      </w:tcPr>
    </w:tblStylePr>
    <w:tblStylePr w:type="band1Horz">
      <w:rPr>
        <w:color w:val="404040"/>
        <w:sz w:val="22"/>
      </w:rPr>
      <w:tblPr/>
      <w:tcPr>
        <w:shd w:val="clear" w:color="D5E5F4"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b/>
        <w:color w:val="404040"/>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lastRow">
      <w:rPr>
        <w:b/>
        <w:color w:val="404040"/>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FADECB" w:fill="FADECB" w:themeFill="accent2" w:themeFillTint="40"/>
      </w:tcPr>
    </w:tblStylePr>
    <w:tblStylePr w:type="band1Horz">
      <w:rPr>
        <w:color w:val="404040"/>
        <w:sz w:val="22"/>
      </w:rPr>
      <w:tblPr/>
      <w:tcPr>
        <w:shd w:val="clear" w:color="FADECB"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b/>
        <w:color w:val="404040"/>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lastRow">
      <w:rPr>
        <w:b/>
        <w:color w:val="404040"/>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E8E8E8" w:fill="E8E8E8" w:themeFill="accent3" w:themeFillTint="40"/>
      </w:tcPr>
    </w:tblStylePr>
    <w:tblStylePr w:type="band1Horz">
      <w:rPr>
        <w:color w:val="404040"/>
        <w:sz w:val="22"/>
      </w:rPr>
      <w:tblPr/>
      <w:tcPr>
        <w:shd w:val="clear" w:color="E8E8E8"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firstRow">
      <w:rPr>
        <w:b/>
        <w:color w:val="404040"/>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lastRow">
      <w:rPr>
        <w:b/>
        <w:color w:val="404040"/>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FFEFBF" w:fill="FFEFBF" w:themeFill="accent4" w:themeFillTint="40"/>
      </w:tcPr>
    </w:tblStylePr>
    <w:tblStylePr w:type="band1Horz">
      <w:rPr>
        <w:color w:val="404040"/>
        <w:sz w:val="22"/>
      </w:rPr>
      <w:tblPr/>
      <w:tcPr>
        <w:shd w:val="clear" w:color="FFEFBF"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b/>
        <w:color w:val="404040"/>
        <w:sz w:val="22"/>
      </w:rPr>
      <w:tblPr/>
      <w:tcPr>
        <w:tcBorders>
          <w:top w:val="single" w:color="95AFDD" w:themeColor="accent5" w:sz="4" w:space="0"/>
          <w:left w:val="none" w:color="000000" w:sz="4" w:space="0"/>
          <w:bottom w:val="single" w:color="95AFDD" w:themeColor="accent5" w:sz="4" w:space="0"/>
          <w:right w:val="none" w:color="000000" w:sz="4" w:space="0"/>
        </w:tcBorders>
      </w:tcPr>
    </w:tblStylePr>
    <w:tblStylePr w:type="lastRow">
      <w:rPr>
        <w:b/>
        <w:color w:val="404040"/>
        <w:sz w:val="22"/>
      </w:rPr>
      <w:tblPr/>
      <w:tcPr>
        <w:tcBorders>
          <w:top w:val="single" w:color="95AFDD" w:themeColor="accent5" w:sz="4" w:space="0"/>
          <w:left w:val="none" w:color="000000" w:sz="4" w:space="0"/>
          <w:bottom w:val="single" w:color="95AFDD" w:themeColor="accent5"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CFDBF0" w:fill="CFDBF0" w:themeFill="accent5" w:themeFillTint="40"/>
      </w:tcPr>
    </w:tblStylePr>
    <w:tblStylePr w:type="band1Horz">
      <w:rPr>
        <w:color w:val="404040"/>
        <w:sz w:val="22"/>
      </w:rPr>
      <w:tblPr/>
      <w:tcPr>
        <w:shd w:val="clear" w:color="CFDBF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b/>
        <w:color w:val="404040"/>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lastRow">
      <w:rPr>
        <w:b/>
        <w:color w:val="404040"/>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AEBCF" w:fill="DAEBCF" w:themeFill="accent6" w:themeFillTint="40"/>
      </w:tcPr>
    </w:tblStylePr>
    <w:tblStylePr w:type="band1Horz">
      <w:rPr>
        <w:color w:val="404040"/>
        <w:sz w:val="22"/>
      </w:rPr>
      <w:tblPr/>
      <w:tcPr>
        <w:shd w:val="clear" w:color="DAEBCF"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color w:val="FFFFFF"/>
        <w:sz w:val="22"/>
      </w:rPr>
      <w:tblPr/>
      <w:tcPr>
        <w:shd w:val="clear" w:color="000000"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000000" w:themeColor="text1" w:sz="4" w:space="0"/>
          <w:right w:val="single" w:color="000000" w:themeColor="text1" w:sz="4" w:space="0"/>
        </w:tcBorders>
      </w:tcPr>
    </w:tblStylePr>
    <w:tblStylePr w:type="band1Horz">
      <w:rPr>
        <w:color w:val="404040"/>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b/>
        <w:color w:val="FFFFFF"/>
        <w:sz w:val="22"/>
      </w:rPr>
      <w:tblPr/>
      <w:tcPr>
        <w:shd w:val="clear" w:color="5B9BD5" w:fill="5B9BD5"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5B9BD5" w:themeColor="accent1" w:sz="4" w:space="0"/>
          <w:right w:val="single" w:color="5B9BD5" w:themeColor="accent1" w:sz="4" w:space="0"/>
        </w:tcBorders>
      </w:tcPr>
    </w:tblStylePr>
    <w:tblStylePr w:type="band1Horz">
      <w:rPr>
        <w:color w:val="404040"/>
        <w:sz w:val="22"/>
      </w:rPr>
      <w:tblPr/>
      <w:tcPr>
        <w:tcBorders>
          <w:top w:val="single" w:color="5B9BD5" w:themeColor="accent1" w:sz="4" w:space="0"/>
          <w:bottom w:val="single" w:color="5B9BD5"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firstRow">
      <w:rPr>
        <w:b/>
        <w:color w:val="FFFFFF"/>
        <w:sz w:val="22"/>
      </w:rPr>
      <w:tblPr/>
      <w:tcPr>
        <w:shd w:val="clear" w:color="F4B184" w:fill="F4B184" w:themeFill="accent2" w:themeFillTint="97"/>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F4B184" w:themeColor="accent2" w:sz="4" w:space="0"/>
          <w:right w:val="single" w:color="F4B184" w:themeColor="accent2" w:sz="4" w:space="0"/>
        </w:tcBorders>
      </w:tcPr>
    </w:tblStylePr>
    <w:tblStylePr w:type="band1Horz">
      <w:rPr>
        <w:color w:val="404040"/>
        <w:sz w:val="22"/>
      </w:rPr>
      <w:tblPr/>
      <w:tcPr>
        <w:tcBorders>
          <w:top w:val="single" w:color="F4B184" w:themeColor="accent2" w:sz="4" w:space="0"/>
          <w:bottom w:val="single" w:color="F4B184"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b/>
        <w:color w:val="FFFFFF"/>
        <w:sz w:val="22"/>
      </w:rPr>
      <w:tblPr/>
      <w:tcPr>
        <w:shd w:val="clear" w:color="C9C9C9" w:fill="C9C9C9" w:themeFill="accent3"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C9C9C9" w:themeColor="accent3" w:sz="4" w:space="0"/>
          <w:right w:val="single" w:color="C9C9C9" w:themeColor="accent3" w:sz="4" w:space="0"/>
        </w:tcBorders>
      </w:tcPr>
    </w:tblStylePr>
    <w:tblStylePr w:type="band1Horz">
      <w:rPr>
        <w:color w:val="404040"/>
        <w:sz w:val="22"/>
      </w:rPr>
      <w:tblPr/>
      <w:tcPr>
        <w:tcBorders>
          <w:top w:val="single" w:color="C9C9C9" w:themeColor="accent3" w:sz="4" w:space="0"/>
          <w:bottom w:val="single" w:color="C9C9C9"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firstRow">
      <w:rPr>
        <w:b/>
        <w:color w:val="FFFFFF"/>
        <w:sz w:val="22"/>
      </w:rPr>
      <w:tblPr/>
      <w:tcPr>
        <w:shd w:val="clear" w:color="FFD865" w:fill="FFD865" w:themeFill="accent4"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FFD865" w:themeColor="accent4" w:sz="4" w:space="0"/>
          <w:right w:val="single" w:color="FFD865" w:themeColor="accent4" w:sz="4" w:space="0"/>
        </w:tcBorders>
      </w:tcPr>
    </w:tblStylePr>
    <w:tblStylePr w:type="band1Horz">
      <w:rPr>
        <w:color w:val="404040"/>
        <w:sz w:val="22"/>
      </w:rPr>
      <w:tblPr/>
      <w:tcPr>
        <w:tcBorders>
          <w:top w:val="single" w:color="FFD865" w:themeColor="accent4" w:sz="4" w:space="0"/>
          <w:bottom w:val="single" w:color="FFD865"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firstRow">
      <w:rPr>
        <w:b/>
        <w:color w:val="FFFFFF"/>
        <w:sz w:val="22"/>
      </w:rPr>
      <w:tblPr/>
      <w:tcPr>
        <w:shd w:val="clear" w:color="8DA9DB" w:fill="8DA9DB" w:themeFill="accent5"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8DA9DB" w:themeColor="accent5" w:sz="4" w:space="0"/>
          <w:right w:val="single" w:color="8DA9DB" w:themeColor="accent5" w:sz="4" w:space="0"/>
        </w:tcBorders>
      </w:tcPr>
    </w:tblStylePr>
    <w:tblStylePr w:type="band1Horz">
      <w:rPr>
        <w:color w:val="404040"/>
        <w:sz w:val="22"/>
      </w:rPr>
      <w:tblPr/>
      <w:tcPr>
        <w:tcBorders>
          <w:top w:val="single" w:color="8DA9DB" w:themeColor="accent5" w:sz="4" w:space="0"/>
          <w:bottom w:val="single" w:color="8DA9DB"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b/>
        <w:color w:val="FFFFFF"/>
        <w:sz w:val="22"/>
      </w:rPr>
      <w:tblPr/>
      <w:tcPr>
        <w:shd w:val="clear" w:color="A9D08E" w:fill="A9D08E" w:themeFill="accent6"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A9D08E" w:themeColor="accent6" w:sz="4" w:space="0"/>
          <w:right w:val="single" w:color="A9D08E" w:themeColor="accent6" w:sz="4" w:space="0"/>
        </w:tcBorders>
      </w:tcPr>
    </w:tblStylePr>
    <w:tblStylePr w:type="band1Horz">
      <w:rPr>
        <w:color w:val="404040"/>
        <w:sz w:val="22"/>
      </w:rPr>
      <w:tblPr/>
      <w:tcPr>
        <w:tcBorders>
          <w:top w:val="single" w:color="A9D08E" w:themeColor="accent6" w:sz="4" w:space="0"/>
          <w:bottom w:val="single" w:color="A9D08E" w:themeColor="accent6" w:sz="4" w:space="0"/>
        </w:tcBorders>
      </w:tcPr>
    </w:tblStylePr>
  </w:style>
  <w:style w:type="table" w:customStyle="1" w:styleId="-410">
    <w:name w:val="Список-таблица 4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color w:val="FFFFFF"/>
        <w:sz w:val="22"/>
      </w:rPr>
      <w:tblPr/>
      <w:tcPr>
        <w:shd w:val="clear" w:color="000000"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b/>
        <w:color w:val="FFFFFF"/>
        <w:sz w:val="22"/>
      </w:rPr>
      <w:tblPr/>
      <w:tcPr>
        <w:shd w:val="clear" w:color="5B9BD5" w:fill="5B9BD5"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5E5F4" w:fill="D5E5F4" w:themeFill="accent1" w:themeFillTint="40"/>
      </w:tcPr>
    </w:tblStylePr>
    <w:tblStylePr w:type="band1Horz">
      <w:rPr>
        <w:color w:val="404040"/>
        <w:sz w:val="22"/>
      </w:rPr>
      <w:tblPr/>
      <w:tcPr>
        <w:shd w:val="clear" w:color="D5E5F4"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b/>
        <w:color w:val="FFFFFF"/>
        <w:sz w:val="22"/>
      </w:rPr>
      <w:tblPr/>
      <w:tcPr>
        <w:shd w:val="clear" w:color="ED7D31" w:fill="ED7D31" w:themeFill="accent2"/>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ADECB" w:fill="FADECB" w:themeFill="accent2" w:themeFillTint="40"/>
      </w:tcPr>
    </w:tblStylePr>
    <w:tblStylePr w:type="band1Horz">
      <w:rPr>
        <w:color w:val="404040"/>
        <w:sz w:val="22"/>
      </w:rPr>
      <w:tblPr/>
      <w:tcPr>
        <w:shd w:val="clear" w:color="FADECB"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b/>
        <w:color w:val="FFFFFF"/>
        <w:sz w:val="22"/>
      </w:rPr>
      <w:tblPr/>
      <w:tcPr>
        <w:shd w:val="clear" w:color="A5A5A5" w:fill="A5A5A5" w:themeFill="accent3"/>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E8E8E8" w:fill="E8E8E8" w:themeFill="accent3" w:themeFillTint="40"/>
      </w:tcPr>
    </w:tblStylePr>
    <w:tblStylePr w:type="band1Horz">
      <w:rPr>
        <w:color w:val="404040"/>
        <w:sz w:val="22"/>
      </w:rPr>
      <w:tblPr/>
      <w:tcPr>
        <w:shd w:val="clear" w:color="E8E8E8"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firstRow">
      <w:rPr>
        <w:b/>
        <w:color w:val="FFFFFF"/>
        <w:sz w:val="22"/>
      </w:rPr>
      <w:tblPr/>
      <w:tcPr>
        <w:shd w:val="clear" w:color="FFC000" w:fill="FFC000" w:themeFill="accent4"/>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FEFBF" w:fill="FFEFBF" w:themeFill="accent4" w:themeFillTint="40"/>
      </w:tcPr>
    </w:tblStylePr>
    <w:tblStylePr w:type="band1Horz">
      <w:rPr>
        <w:color w:val="404040"/>
        <w:sz w:val="22"/>
      </w:rPr>
      <w:tblPr/>
      <w:tcPr>
        <w:shd w:val="clear" w:color="FFEFBF"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b/>
        <w:color w:val="FFFFFF"/>
        <w:sz w:val="22"/>
      </w:rPr>
      <w:tblPr/>
      <w:tcPr>
        <w:shd w:val="clear" w:color="4472C4" w:fill="4472C4" w:themeFill="accent5"/>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CFDBF0" w:fill="CFDBF0" w:themeFill="accent5" w:themeFillTint="40"/>
      </w:tcPr>
    </w:tblStylePr>
    <w:tblStylePr w:type="band1Horz">
      <w:rPr>
        <w:color w:val="404040"/>
        <w:sz w:val="22"/>
      </w:rPr>
      <w:tblPr/>
      <w:tcPr>
        <w:shd w:val="clear" w:color="CFDBF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b/>
        <w:color w:val="FFFFFF"/>
        <w:sz w:val="22"/>
      </w:rPr>
      <w:tblPr/>
      <w:tcPr>
        <w:shd w:val="clear" w:color="70AD47" w:fill="70AD47" w:themeFill="accent6"/>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AEBCF" w:fill="DAEBCF" w:themeFill="accent6" w:themeFillTint="40"/>
      </w:tcPr>
    </w:tblStylePr>
    <w:tblStylePr w:type="band1Horz">
      <w:rPr>
        <w:color w:val="404040"/>
        <w:sz w:val="22"/>
      </w:rPr>
      <w:tblPr/>
      <w:tcPr>
        <w:shd w:val="clear" w:color="DAEBCF"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val="FFFFFF"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b/>
        <w:color w:val="FFFFFF" w:themeColor="light1"/>
        <w:sz w:val="22"/>
      </w:rPr>
      <w:tblPr/>
      <w:tcPr>
        <w:tcBorders>
          <w:top w:val="single" w:color="5B9BD5" w:themeColor="accent1" w:sz="32" w:space="0"/>
          <w:bottom w:val="single" w:color="FFFFFF" w:themeColor="light1" w:sz="12" w:space="0"/>
        </w:tcBorders>
        <w:shd w:val="clear" w:color="5B9BD5" w:fill="5B9BD5" w:themeFill="accent1"/>
      </w:tcPr>
    </w:tblStylePr>
    <w:tblStylePr w:type="lastRow">
      <w:rPr>
        <w:b/>
        <w:color w:val="FFFFFF" w:themeColor="light1"/>
        <w:sz w:val="22"/>
      </w:rPr>
      <w:tblPr/>
    </w:tblStylePr>
    <w:tblStylePr w:type="firstCol">
      <w:rPr>
        <w:b/>
        <w:color w:val="FFFFFF" w:themeColor="light1"/>
        <w:sz w:val="22"/>
      </w:rPr>
      <w:tblPr/>
      <w:tcPr>
        <w:tcBorders>
          <w:left w:val="single" w:color="5B9BD5" w:themeColor="accent1" w:sz="32" w:space="0"/>
          <w:right w:val="single" w:color="FFFFFF" w:themeColor="light1" w:sz="4" w:space="0"/>
        </w:tcBorders>
      </w:tcPr>
    </w:tblStylePr>
    <w:tblStylePr w:type="lastCol">
      <w:tblPr/>
      <w:tcPr>
        <w:tcBorders>
          <w:left w:val="single" w:color="FFFFFF" w:themeColor="light1" w:sz="4" w:space="0"/>
          <w:right w:val="single" w:color="5B9BD5" w:themeColor="accent1" w:sz="32" w:space="0"/>
        </w:tcBorders>
      </w:tcPr>
    </w:tblStylePr>
    <w:tblStylePr w:type="band1Vert">
      <w:tblPr/>
      <w:tcPr>
        <w:tcBorders>
          <w:left w:val="single" w:color="FFFFFF" w:themeColor="light1" w:sz="4" w:space="0"/>
          <w:right w:val="single" w:color="FFFFFF" w:themeColor="light1" w:sz="4" w:space="0"/>
        </w:tcBorders>
        <w:shd w:val="clear" w:color="5B9BD5" w:fill="5B9BD5"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5B9BD5" w:fill="5B9BD5" w:themeFill="accent1"/>
      </w:tcPr>
    </w:tblStylePr>
    <w:tblStylePr w:type="band2Horz">
      <w:tblPr/>
      <w:tcPr>
        <w:tcBorders>
          <w:top w:val="single" w:color="FFFFFF" w:themeColor="light1" w:sz="4" w:space="0"/>
          <w:bottom w:val="single" w:color="FFFFFF" w:themeColor="light1" w:sz="4" w:space="0"/>
        </w:tcBorders>
        <w:shd w:val="clear" w:color="5B9BD5"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tblStylePr w:type="firstRow">
      <w:rPr>
        <w:b/>
        <w:color w:val="FFFFFF" w:themeColor="light1"/>
        <w:sz w:val="22"/>
      </w:rPr>
      <w:tblPr/>
      <w:tcPr>
        <w:tcBorders>
          <w:top w:val="single" w:color="F4B184" w:themeColor="accent2" w:sz="32" w:space="0"/>
          <w:bottom w:val="single" w:color="FFFFFF" w:themeColor="light1" w:sz="12" w:space="0"/>
        </w:tcBorders>
        <w:shd w:val="clear" w:color="F4B184" w:fill="F4B184" w:themeFill="accent2" w:themeFillTint="97"/>
      </w:tcPr>
    </w:tblStylePr>
    <w:tblStylePr w:type="lastRow">
      <w:rPr>
        <w:b/>
        <w:color w:val="FFFFFF" w:themeColor="light1"/>
        <w:sz w:val="22"/>
      </w:rPr>
      <w:tblPr/>
    </w:tblStylePr>
    <w:tblStylePr w:type="firstCol">
      <w:rPr>
        <w:b/>
        <w:color w:val="FFFFFF" w:themeColor="light1"/>
        <w:sz w:val="22"/>
      </w:rPr>
      <w:tblPr/>
      <w:tcPr>
        <w:tcBorders>
          <w:left w:val="single" w:color="F4B184" w:themeColor="accent2" w:sz="32" w:space="0"/>
          <w:right w:val="single" w:color="FFFFFF" w:themeColor="light1" w:sz="4" w:space="0"/>
        </w:tcBorders>
      </w:tcPr>
    </w:tblStylePr>
    <w:tblStylePr w:type="lastCol">
      <w:tblPr/>
      <w:tcPr>
        <w:tcBorders>
          <w:left w:val="single" w:color="FFFFFF" w:themeColor="light1" w:sz="4" w:space="0"/>
          <w:right w:val="single" w:color="F4B184" w:themeColor="accent2" w:sz="32" w:space="0"/>
        </w:tcBorders>
      </w:tcPr>
    </w:tblStylePr>
    <w:tblStylePr w:type="band1Vert">
      <w:tblPr/>
      <w:tcPr>
        <w:tcBorders>
          <w:left w:val="single" w:color="FFFFFF" w:themeColor="light1" w:sz="4" w:space="0"/>
          <w:right w:val="single" w:color="FFFFFF" w:themeColor="light1" w:sz="4" w:space="0"/>
        </w:tcBorders>
        <w:shd w:val="clear" w:color="F4B184" w:fill="F4B184"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4B184" w:fill="F4B184" w:themeFill="accent2" w:themeFillTint="97"/>
      </w:tcPr>
    </w:tblStylePr>
    <w:tblStylePr w:type="band2Horz">
      <w:tblPr/>
      <w:tcPr>
        <w:tcBorders>
          <w:top w:val="single" w:color="FFFFFF" w:themeColor="light1" w:sz="4" w:space="0"/>
          <w:bottom w:val="single" w:color="FFFFFF" w:themeColor="light1" w:sz="4" w:space="0"/>
        </w:tcBorders>
        <w:shd w:val="clear" w:color="F4B184"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b/>
        <w:color w:val="FFFFFF" w:themeColor="light1"/>
        <w:sz w:val="22"/>
      </w:rPr>
      <w:tblPr/>
      <w:tcPr>
        <w:tcBorders>
          <w:top w:val="single" w:color="C9C9C9" w:themeColor="accent3" w:sz="32" w:space="0"/>
          <w:bottom w:val="single" w:color="FFFFFF" w:themeColor="light1" w:sz="12" w:space="0"/>
        </w:tcBorders>
        <w:shd w:val="clear" w:color="C9C9C9" w:fill="C9C9C9" w:themeFill="accent3" w:themeFillTint="98"/>
      </w:tcPr>
    </w:tblStylePr>
    <w:tblStylePr w:type="lastRow">
      <w:rPr>
        <w:b/>
        <w:color w:val="FFFFFF" w:themeColor="light1"/>
        <w:sz w:val="22"/>
      </w:rPr>
      <w:tblPr/>
    </w:tblStylePr>
    <w:tblStylePr w:type="firstCol">
      <w:rPr>
        <w:b/>
        <w:color w:val="FFFFFF" w:themeColor="light1"/>
        <w:sz w:val="22"/>
      </w:rPr>
      <w:tblPr/>
      <w:tcPr>
        <w:tcBorders>
          <w:left w:val="single" w:color="C9C9C9" w:themeColor="accent3" w:sz="32" w:space="0"/>
          <w:right w:val="single" w:color="FFFFFF" w:themeColor="light1" w:sz="4" w:space="0"/>
        </w:tcBorders>
      </w:tcPr>
    </w:tblStylePr>
    <w:tblStylePr w:type="lastCol">
      <w:tblPr/>
      <w:tcPr>
        <w:tcBorders>
          <w:left w:val="single" w:color="FFFFFF" w:themeColor="light1" w:sz="4" w:space="0"/>
          <w:right w:val="single" w:color="C9C9C9" w:themeColor="accent3" w:sz="32" w:space="0"/>
        </w:tcBorders>
      </w:tcPr>
    </w:tblStylePr>
    <w:tblStylePr w:type="band1Vert">
      <w:tblPr/>
      <w:tcPr>
        <w:tcBorders>
          <w:left w:val="single" w:color="FFFFFF" w:themeColor="light1" w:sz="4" w:space="0"/>
          <w:right w:val="single" w:color="FFFFFF" w:themeColor="light1" w:sz="4" w:space="0"/>
        </w:tcBorders>
        <w:shd w:val="clear" w:color="C9C9C9" w:fill="C9C9C9"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9C9C9" w:fill="C9C9C9" w:themeFill="accent3" w:themeFillTint="98"/>
      </w:tcPr>
    </w:tblStylePr>
    <w:tblStylePr w:type="band2Horz">
      <w:tblPr/>
      <w:tcPr>
        <w:tcBorders>
          <w:top w:val="single" w:color="FFFFFF" w:themeColor="light1" w:sz="4" w:space="0"/>
          <w:bottom w:val="single" w:color="FFFFFF" w:themeColor="light1" w:sz="4" w:space="0"/>
        </w:tcBorders>
        <w:shd w:val="clear" w:color="C9C9C9"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tblStylePr w:type="firstRow">
      <w:rPr>
        <w:b/>
        <w:color w:val="FFFFFF" w:themeColor="light1"/>
        <w:sz w:val="22"/>
      </w:rPr>
      <w:tblPr/>
      <w:tcPr>
        <w:tcBorders>
          <w:top w:val="single" w:color="FFD865" w:themeColor="accent4" w:sz="32" w:space="0"/>
          <w:bottom w:val="single" w:color="FFFFFF" w:themeColor="light1" w:sz="12" w:space="0"/>
        </w:tcBorders>
        <w:shd w:val="clear" w:color="FFD865" w:fill="FFD865" w:themeFill="accent4" w:themeFillTint="9a"/>
      </w:tcPr>
    </w:tblStylePr>
    <w:tblStylePr w:type="lastRow">
      <w:rPr>
        <w:b/>
        <w:color w:val="FFFFFF" w:themeColor="light1"/>
        <w:sz w:val="22"/>
      </w:rPr>
      <w:tblPr/>
    </w:tblStylePr>
    <w:tblStylePr w:type="firstCol">
      <w:rPr>
        <w:b/>
        <w:color w:val="FFFFFF" w:themeColor="light1"/>
        <w:sz w:val="22"/>
      </w:rPr>
      <w:tblPr/>
      <w:tcPr>
        <w:tcBorders>
          <w:left w:val="single" w:color="FFD865" w:themeColor="accent4" w:sz="32" w:space="0"/>
          <w:right w:val="single" w:color="FFFFFF" w:themeColor="light1" w:sz="4" w:space="0"/>
        </w:tcBorders>
      </w:tcPr>
    </w:tblStylePr>
    <w:tblStylePr w:type="lastCol">
      <w:tblPr/>
      <w:tcPr>
        <w:tcBorders>
          <w:left w:val="single" w:color="FFFFFF" w:themeColor="light1" w:sz="4" w:space="0"/>
          <w:right w:val="single" w:color="FFD865" w:themeColor="accent4" w:sz="32" w:space="0"/>
        </w:tcBorders>
      </w:tcPr>
    </w:tblStylePr>
    <w:tblStylePr w:type="band1Vert">
      <w:tblPr/>
      <w:tcPr>
        <w:tcBorders>
          <w:left w:val="single" w:color="FFFFFF" w:themeColor="light1" w:sz="4" w:space="0"/>
          <w:right w:val="single" w:color="FFFFFF" w:themeColor="light1" w:sz="4" w:space="0"/>
        </w:tcBorders>
        <w:shd w:val="clear" w:color="FFD865" w:fill="FFD865"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D865" w:fill="FFD865" w:themeFill="accent4" w:themeFillTint="9a"/>
      </w:tcPr>
    </w:tblStylePr>
    <w:tblStylePr w:type="band2Horz">
      <w:tblPr/>
      <w:tcPr>
        <w:tcBorders>
          <w:top w:val="single" w:color="FFFFFF" w:themeColor="light1" w:sz="4" w:space="0"/>
          <w:bottom w:val="single" w:color="FFFFFF" w:themeColor="light1" w:sz="4" w:space="0"/>
        </w:tcBorders>
        <w:shd w:val="clear" w:color="FFD865"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tblPr>
    <w:tblStylePr w:type="firstRow">
      <w:rPr>
        <w:b/>
        <w:color w:val="FFFFFF" w:themeColor="light1"/>
        <w:sz w:val="22"/>
      </w:rPr>
      <w:tblPr/>
      <w:tcPr>
        <w:tcBorders>
          <w:top w:val="single" w:color="8DA9DB" w:themeColor="accent5" w:sz="32" w:space="0"/>
          <w:bottom w:val="single" w:color="FFFFFF" w:themeColor="light1" w:sz="12" w:space="0"/>
        </w:tcBorders>
        <w:shd w:val="clear" w:color="8DA9DB" w:fill="8DA9DB" w:themeFill="accent5" w:themeFillTint="9a"/>
      </w:tcPr>
    </w:tblStylePr>
    <w:tblStylePr w:type="lastRow">
      <w:rPr>
        <w:b/>
        <w:color w:val="FFFFFF" w:themeColor="light1"/>
        <w:sz w:val="22"/>
      </w:rPr>
      <w:tblPr/>
    </w:tblStylePr>
    <w:tblStylePr w:type="firstCol">
      <w:rPr>
        <w:b/>
        <w:color w:val="FFFFFF" w:themeColor="light1"/>
        <w:sz w:val="22"/>
      </w:rPr>
      <w:tblPr/>
      <w:tcPr>
        <w:tcBorders>
          <w:left w:val="single" w:color="8DA9DB" w:themeColor="accent5" w:sz="32" w:space="0"/>
          <w:right w:val="single" w:color="FFFFFF" w:themeColor="light1" w:sz="4" w:space="0"/>
        </w:tcBorders>
      </w:tcPr>
    </w:tblStylePr>
    <w:tblStylePr w:type="lastCol">
      <w:tblPr/>
      <w:tcPr>
        <w:tcBorders>
          <w:left w:val="single" w:color="FFFFFF" w:themeColor="light1" w:sz="4" w:space="0"/>
          <w:right w:val="single" w:color="8DA9DB" w:themeColor="accent5" w:sz="32" w:space="0"/>
        </w:tcBorders>
      </w:tcPr>
    </w:tblStylePr>
    <w:tblStylePr w:type="band1Vert">
      <w:tblPr/>
      <w:tcPr>
        <w:tcBorders>
          <w:left w:val="single" w:color="FFFFFF" w:themeColor="light1" w:sz="4" w:space="0"/>
          <w:right w:val="single" w:color="FFFFFF" w:themeColor="light1" w:sz="4" w:space="0"/>
        </w:tcBorders>
        <w:shd w:val="clear" w:color="8DA9DB" w:fill="8DA9DB"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8DA9DB" w:fill="8DA9DB" w:themeFill="accent5" w:themeFillTint="9a"/>
      </w:tcPr>
    </w:tblStylePr>
    <w:tblStylePr w:type="band2Horz">
      <w:tblPr/>
      <w:tcPr>
        <w:tcBorders>
          <w:top w:val="single" w:color="FFFFFF" w:themeColor="light1" w:sz="4" w:space="0"/>
          <w:bottom w:val="single" w:color="FFFFFF" w:themeColor="light1" w:sz="4" w:space="0"/>
        </w:tcBorders>
        <w:shd w:val="clear" w:color="8DA9DB"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b/>
        <w:color w:val="FFFFFF" w:themeColor="light1"/>
        <w:sz w:val="22"/>
      </w:rPr>
      <w:tblPr/>
      <w:tcPr>
        <w:tcBorders>
          <w:top w:val="single" w:color="A9D08E" w:themeColor="accent6" w:sz="32" w:space="0"/>
          <w:bottom w:val="single" w:color="FFFFFF" w:themeColor="light1" w:sz="12" w:space="0"/>
        </w:tcBorders>
        <w:shd w:val="clear" w:color="A9D08E" w:fill="A9D08E" w:themeFill="accent6" w:themeFillTint="98"/>
      </w:tcPr>
    </w:tblStylePr>
    <w:tblStylePr w:type="lastRow">
      <w:rPr>
        <w:b/>
        <w:color w:val="FFFFFF" w:themeColor="light1"/>
        <w:sz w:val="22"/>
      </w:rPr>
      <w:tblPr/>
    </w:tblStylePr>
    <w:tblStylePr w:type="firstCol">
      <w:rPr>
        <w:b/>
        <w:color w:val="FFFFFF" w:themeColor="light1"/>
        <w:sz w:val="22"/>
      </w:rPr>
      <w:tblPr/>
      <w:tcPr>
        <w:tcBorders>
          <w:left w:val="single" w:color="A9D08E" w:themeColor="accent6" w:sz="32" w:space="0"/>
          <w:right w:val="single" w:color="FFFFFF" w:themeColor="light1" w:sz="4" w:space="0"/>
        </w:tcBorders>
      </w:tcPr>
    </w:tblStylePr>
    <w:tblStylePr w:type="lastCol">
      <w:tblPr/>
      <w:tcPr>
        <w:tcBorders>
          <w:left w:val="single" w:color="FFFFFF" w:themeColor="light1" w:sz="4" w:space="0"/>
          <w:right w:val="single" w:color="A9D08E" w:themeColor="accent6" w:sz="32" w:space="0"/>
        </w:tcBorders>
      </w:tcPr>
    </w:tblStylePr>
    <w:tblStylePr w:type="band1Vert">
      <w:tblPr/>
      <w:tcPr>
        <w:tcBorders>
          <w:left w:val="single" w:color="FFFFFF" w:themeColor="light1" w:sz="4" w:space="0"/>
          <w:right w:val="single" w:color="FFFFFF" w:themeColor="light1" w:sz="4" w:space="0"/>
        </w:tcBorders>
        <w:shd w:val="clear" w:color="A9D08E" w:fill="A9D08E"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A9D08E" w:fill="A9D08E" w:themeFill="accent6" w:themeFillTint="98"/>
      </w:tcPr>
    </w:tblStylePr>
    <w:tblStylePr w:type="band2Horz">
      <w:tblPr/>
      <w:tcPr>
        <w:tcBorders>
          <w:top w:val="single" w:color="FFFFFF" w:themeColor="light1" w:sz="4" w:space="0"/>
          <w:bottom w:val="single" w:color="FFFFFF" w:themeColor="light1" w:sz="4" w:space="0"/>
        </w:tcBorders>
        <w:shd w:val="clear" w:color="A9D08E"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blPr/>
      <w:tcPr>
        <w:tcBorders>
          <w:bottom w:val="single" w:color="7F7F7F" w:themeColor="text1" w:sz="4" w:space="0"/>
        </w:tcBorders>
      </w:tcPr>
    </w:tblStylePr>
    <w:tblStylePr w:type="lastRow">
      <w:rPr>
        <w:b/>
        <w:color w:val="000000" w:themeColor="text1"/>
      </w:rPr>
      <w:tblPr/>
      <w:tcPr>
        <w:tcBorders>
          <w:top w:val="single" w:color="7F7F7F"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5B9BD5" w:themeColor="accent1" w:sz="4" w:space="0"/>
        <w:bottom w:val="single" w:color="5B9BD5" w:themeColor="accent1" w:sz="4" w:space="0"/>
      </w:tblBorders>
    </w:tblPr>
    <w:tblStylePr w:type="firstRow">
      <w:rPr>
        <w:b/>
        <w:color w:val="245A8D" w:themeColor="accent1" w:themeShade="95"/>
      </w:rPr>
      <w:tblPr/>
      <w:tcPr>
        <w:tcBorders>
          <w:bottom w:val="single" w:color="5B9BD5" w:themeColor="accent1" w:sz="4" w:space="0"/>
        </w:tcBorders>
      </w:tcPr>
    </w:tblStylePr>
    <w:tblStylePr w:type="lastRow">
      <w:rPr>
        <w:b/>
        <w:color w:val="245A8D" w:themeColor="accent1" w:themeShade="95"/>
      </w:rPr>
      <w:tblPr/>
      <w:tcPr>
        <w:tcBorders>
          <w:top w:val="single" w:color="5B9BD5" w:themeColor="accent1" w:sz="4" w:space="0"/>
        </w:tcBorders>
      </w:tcPr>
    </w:tblStylePr>
    <w:tblStylePr w:type="firstCol">
      <w:rPr>
        <w:b/>
        <w:color w:val="245A8D" w:themeColor="accent1" w:themeShade="95"/>
      </w:rPr>
      <w:tblPr/>
    </w:tblStylePr>
    <w:tblStylePr w:type="lastCol">
      <w:rPr>
        <w:b/>
        <w:color w:val="245A8D" w:themeColor="accent1" w:themeShade="95"/>
      </w:rPr>
      <w:tblPr/>
    </w:tblStylePr>
    <w:tblStylePr w:type="band1Vert">
      <w:tblPr/>
      <w:tcPr>
        <w:shd w:val="clear" w:color="D5E5F4" w:fill="D5E5F4" w:themeFill="accent1" w:themeFillTint="40"/>
      </w:tcPr>
    </w:tblStylePr>
    <w:tblStylePr w:type="band1Horz">
      <w:rPr>
        <w:color w:val="245A8D" w:themeColor="accent1" w:themeShade="95"/>
        <w:sz w:val="22"/>
      </w:rPr>
      <w:tblPr/>
      <w:tcPr>
        <w:shd w:val="clear" w:color="D5E5F4" w:fill="D5E5F4" w:themeFill="accent1" w:themeFillTint="40"/>
      </w:tcPr>
    </w:tblStylePr>
    <w:tblStylePr w:type="band2Horz">
      <w:rPr>
        <w:color w:val="245A8D"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F4B184" w:themeColor="accent2" w:themeTint="97" w:sz="4" w:space="0"/>
        <w:bottom w:val="single" w:color="F4B184" w:themeColor="accent2" w:themeTint="97" w:sz="4" w:space="0"/>
      </w:tblBorders>
    </w:tblPr>
    <w:tblStylePr w:type="firstRow">
      <w:rPr>
        <w:b/>
        <w:color w:val="F4B184" w:themeColor="accent2" w:themeTint="97" w:themeShade="95"/>
      </w:rPr>
      <w:tblPr/>
      <w:tcPr>
        <w:tcBorders>
          <w:bottom w:val="single" w:color="F4B184" w:themeColor="accent2" w:sz="4" w:space="0"/>
        </w:tcBorders>
      </w:tcPr>
    </w:tblStylePr>
    <w:tblStylePr w:type="lastRow">
      <w:rPr>
        <w:b/>
        <w:color w:val="F4B184" w:themeColor="accent2" w:themeTint="97" w:themeShade="95"/>
      </w:rPr>
      <w:tblPr/>
      <w:tcPr>
        <w:tcBorders>
          <w:top w:val="single" w:color="F4B184" w:themeColor="accent2" w:sz="4" w:space="0"/>
        </w:tcBorders>
      </w:tcPr>
    </w:tblStylePr>
    <w:tblStylePr w:type="firstCol">
      <w:rPr>
        <w:b/>
        <w:color w:val="F4B184" w:themeColor="accent2" w:themeTint="97" w:themeShade="95"/>
      </w:rPr>
      <w:tblPr/>
    </w:tblStylePr>
    <w:tblStylePr w:type="lastCol">
      <w:rPr>
        <w:b/>
        <w:color w:val="F4B184" w:themeColor="accent2" w:themeTint="97" w:themeShade="95"/>
      </w:rPr>
      <w:tbl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9C9C9" w:themeColor="accent3" w:themeTint="98" w:sz="4" w:space="0"/>
        <w:bottom w:val="single" w:color="C9C9C9" w:themeColor="accent3" w:themeTint="98" w:sz="4" w:space="0"/>
      </w:tblBorders>
    </w:tblPr>
    <w:tblStylePr w:type="firstRow">
      <w:rPr>
        <w:b/>
        <w:color w:val="C9C9C9" w:themeColor="accent3" w:themeTint="98" w:themeShade="95"/>
      </w:rPr>
      <w:tblPr/>
      <w:tcPr>
        <w:tcBorders>
          <w:bottom w:val="single" w:color="C9C9C9" w:themeColor="accent3" w:sz="4" w:space="0"/>
        </w:tcBorders>
      </w:tcPr>
    </w:tblStylePr>
    <w:tblStylePr w:type="lastRow">
      <w:rPr>
        <w:b/>
        <w:color w:val="C9C9C9" w:themeColor="accent3" w:themeTint="98" w:themeShade="95"/>
      </w:rPr>
      <w:tblPr/>
      <w:tcPr>
        <w:tcBorders>
          <w:top w:val="single" w:color="C9C9C9" w:themeColor="accent3" w:sz="4" w:space="0"/>
        </w:tcBorders>
      </w:tcPr>
    </w:tblStylePr>
    <w:tblStylePr w:type="firstCol">
      <w:rPr>
        <w:b/>
        <w:color w:val="C9C9C9" w:themeColor="accent3" w:themeTint="98" w:themeShade="95"/>
      </w:rPr>
      <w:tblPr/>
    </w:tblStylePr>
    <w:tblStylePr w:type="lastCol">
      <w:rPr>
        <w:b/>
        <w:color w:val="C9C9C9" w:themeColor="accent3" w:themeTint="98" w:themeShade="95"/>
      </w:rPr>
      <w:tbl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FFD865" w:themeColor="accent4" w:themeTint="9a" w:sz="4" w:space="0"/>
        <w:bottom w:val="single" w:color="FFD865" w:themeColor="accent4" w:themeTint="9a" w:sz="4" w:space="0"/>
      </w:tblBorders>
    </w:tblPr>
    <w:tblStylePr w:type="firstRow">
      <w:rPr>
        <w:b/>
        <w:color w:val="FFD865" w:themeColor="accent4" w:themeTint="9a" w:themeShade="95"/>
      </w:rPr>
      <w:tblPr/>
      <w:tcPr>
        <w:tcBorders>
          <w:bottom w:val="single" w:color="FFD865" w:themeColor="accent4" w:sz="4" w:space="0"/>
        </w:tcBorders>
      </w:tcPr>
    </w:tblStylePr>
    <w:tblStylePr w:type="lastRow">
      <w:rPr>
        <w:b/>
        <w:color w:val="FFD865" w:themeColor="accent4" w:themeTint="9a" w:themeShade="95"/>
      </w:rPr>
      <w:tblPr/>
      <w:tcPr>
        <w:tcBorders>
          <w:top w:val="single" w:color="FFD865" w:themeColor="accent4" w:sz="4" w:space="0"/>
        </w:tcBorders>
      </w:tcPr>
    </w:tblStylePr>
    <w:tblStylePr w:type="firstCol">
      <w:rPr>
        <w:b/>
        <w:color w:val="FFD865" w:themeColor="accent4" w:themeTint="9a" w:themeShade="95"/>
      </w:rPr>
      <w:tblPr/>
    </w:tblStylePr>
    <w:tblStylePr w:type="lastCol">
      <w:rPr>
        <w:b/>
        <w:color w:val="FFD865" w:themeColor="accent4" w:themeTint="9a" w:themeShade="95"/>
      </w:rPr>
      <w:tbl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8DA9DB" w:themeColor="accent5" w:themeTint="9a" w:sz="4" w:space="0"/>
        <w:bottom w:val="single" w:color="8DA9DB" w:themeColor="accent5" w:themeTint="9a" w:sz="4" w:space="0"/>
      </w:tblBorders>
    </w:tblPr>
    <w:tblStylePr w:type="firstRow">
      <w:rPr>
        <w:b/>
        <w:color w:val="8DA9DB" w:themeColor="accent5" w:themeTint="9a" w:themeShade="95"/>
      </w:rPr>
      <w:tblPr/>
      <w:tcPr>
        <w:tcBorders>
          <w:bottom w:val="single" w:color="8DA9DB" w:themeColor="accent5" w:sz="4" w:space="0"/>
        </w:tcBorders>
      </w:tcPr>
    </w:tblStylePr>
    <w:tblStylePr w:type="lastRow">
      <w:rPr>
        <w:b/>
        <w:color w:val="8DA9DB" w:themeColor="accent5" w:themeTint="9a" w:themeShade="95"/>
      </w:rPr>
      <w:tblPr/>
      <w:tcPr>
        <w:tcBorders>
          <w:top w:val="single" w:color="8DA9DB" w:themeColor="accent5" w:sz="4" w:space="0"/>
        </w:tcBorders>
      </w:tcPr>
    </w:tblStylePr>
    <w:tblStylePr w:type="firstCol">
      <w:rPr>
        <w:b/>
        <w:color w:val="8DA9DB" w:themeColor="accent5" w:themeTint="9a" w:themeShade="95"/>
      </w:rPr>
      <w:tblPr/>
    </w:tblStylePr>
    <w:tblStylePr w:type="lastCol">
      <w:rPr>
        <w:b/>
        <w:color w:val="8DA9DB" w:themeColor="accent5" w:themeTint="9a" w:themeShade="95"/>
      </w:rPr>
      <w:tblPr/>
    </w:tblStylePr>
    <w:tblStylePr w:type="band1Vert">
      <w:tblPr/>
      <w:tcPr>
        <w:shd w:val="clear" w:color="CFDBF0" w:fill="CFDBF0" w:themeFill="accent5" w:themeFillTint="40"/>
      </w:tcPr>
    </w:tblStylePr>
    <w:tblStylePr w:type="band1Horz">
      <w:rPr>
        <w:color w:val="8DA9DB" w:themeColor="accent5" w:themeTint="9a" w:themeShade="95"/>
        <w:sz w:val="22"/>
      </w:rPr>
      <w:tblPr/>
      <w:tcPr>
        <w:shd w:val="clear" w:color="CFDBF0" w:fill="CFDBF0" w:themeFill="accent5" w:themeFillTint="40"/>
      </w:tcPr>
    </w:tblStylePr>
    <w:tblStylePr w:type="band2Horz">
      <w:rPr>
        <w:color w:val="8DA9DB"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A9D08E" w:themeColor="accent6" w:themeTint="98" w:sz="4" w:space="0"/>
        <w:bottom w:val="single" w:color="A9D08E" w:themeColor="accent6" w:themeTint="98" w:sz="4" w:space="0"/>
      </w:tblBorders>
    </w:tblPr>
    <w:tblStylePr w:type="firstRow">
      <w:rPr>
        <w:b/>
        <w:color w:val="A9D08E" w:themeColor="accent6" w:themeTint="98" w:themeShade="95"/>
      </w:rPr>
      <w:tblPr/>
      <w:tcPr>
        <w:tcBorders>
          <w:bottom w:val="single" w:color="A9D08E" w:themeColor="accent6" w:sz="4" w:space="0"/>
        </w:tcBorders>
      </w:tcPr>
    </w:tblStylePr>
    <w:tblStylePr w:type="lastRow">
      <w:rPr>
        <w:b/>
        <w:color w:val="A9D08E" w:themeColor="accent6" w:themeTint="98" w:themeShade="95"/>
      </w:rPr>
      <w:tblPr/>
      <w:tcPr>
        <w:tcBorders>
          <w:top w:val="single" w:color="A9D08E" w:themeColor="accent6" w:sz="4" w:space="0"/>
        </w:tcBorders>
      </w:tcPr>
    </w:tblStylePr>
    <w:tblStylePr w:type="firstCol">
      <w:rPr>
        <w:b/>
        <w:color w:val="A9D08E" w:themeColor="accent6" w:themeTint="98" w:themeShade="95"/>
      </w:rPr>
      <w:tblPr/>
    </w:tblStylePr>
    <w:tblStylePr w:type="lastCol">
      <w:rPr>
        <w:b/>
        <w:color w:val="A9D08E" w:themeColor="accent6" w:themeTint="98" w:themeShade="95"/>
      </w:rPr>
      <w:tbl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Pr/>
    </w:tblStylePr>
  </w:style>
  <w:style w:type="table" w:customStyle="1" w:styleId="-710">
    <w:name w:val="Список-таблица 7 цветная1"/>
    <w:basedOn w:val="a1"/>
    <w:uiPriority w:val="99"/>
    <w:tblPr>
      <w:tblStyleRowBandSize w:val="1"/>
      <w:tblStyleColBandSize w:val="1"/>
      <w:tblBorders>
        <w:right w:val="single" w:color="7F7F7F" w:themeColor="text1" w:themeTint="80" w:sz="4" w:space="0"/>
      </w:tblBorders>
    </w:tblPr>
    <w:tblStylePr w:type="firstRow">
      <w:rPr>
        <w:i/>
        <w:color w:val="7F7F7F"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i/>
        <w:color w:val="7F7F7F"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5B9BD5" w:themeColor="accent1" w:sz="4" w:space="0"/>
      </w:tblBorders>
    </w:tblPr>
    <w:tblStylePr w:type="firstRow">
      <w:rPr>
        <w:i/>
        <w:color w:val="245A8D" w:themeColor="accent1" w:themeShade="95"/>
        <w:sz w:val="22"/>
      </w:rPr>
      <w:tblPr/>
      <w:tcPr>
        <w:tcBorders>
          <w:top w:val="none" w:color="auto" w:sz="0" w:space="0"/>
          <w:left w:val="none" w:color="auto" w:sz="0" w:space="0"/>
          <w:bottom w:val="single" w:color="5B9BD5" w:themeColor="accent1" w:sz="4" w:space="0"/>
          <w:right w:val="none" w:color="auto" w:sz="0" w:space="0"/>
        </w:tcBorders>
        <w:shd w:val="clear" w:color="FFFFFF" w:fill="FFFFFF" w:themeFill="light1"/>
      </w:tcPr>
    </w:tblStylePr>
    <w:tblStylePr w:type="lastRow">
      <w:rPr>
        <w:i/>
        <w:color w:val="245A8D" w:themeColor="accent1" w:themeShade="95"/>
        <w:sz w:val="22"/>
      </w:rPr>
      <w:tblPr/>
      <w:tcPr>
        <w:tcBorders>
          <w:top w:val="single" w:color="5B9BD5"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45A8D" w:themeColor="accent1" w:themeShade="95"/>
        <w:sz w:val="22"/>
      </w:rPr>
      <w:tblPr/>
      <w:tcPr>
        <w:tcBorders>
          <w:top w:val="none" w:color="auto" w:sz="0" w:space="0"/>
          <w:left w:val="none" w:color="auto" w:sz="0" w:space="0"/>
          <w:bottom w:val="none" w:color="auto" w:sz="0" w:space="0"/>
          <w:right w:val="single" w:color="5B9BD5" w:themeColor="accent1" w:sz="4" w:space="0"/>
        </w:tcBorders>
        <w:shd w:val="clear" w:color="FFFFFF" w:fill="auto"/>
      </w:tcPr>
    </w:tblStylePr>
    <w:tblStylePr w:type="lastCol">
      <w:rPr>
        <w:i/>
        <w:color w:val="245A8D" w:themeColor="accent1" w:themeShade="95"/>
        <w:sz w:val="22"/>
      </w:rPr>
      <w:tblPr/>
      <w:tcPr>
        <w:tcBorders>
          <w:top w:val="none" w:color="auto" w:sz="0" w:space="0"/>
          <w:left w:val="single" w:color="5B9BD5" w:themeColor="accent1" w:sz="4" w:space="0"/>
          <w:bottom w:val="none" w:color="auto" w:sz="0" w:space="0"/>
          <w:right w:val="none" w:color="auto" w:sz="0" w:space="0"/>
        </w:tcBorders>
        <w:shd w:val="clear" w:color="FFFFFF" w:fill="auto"/>
      </w:tcPr>
    </w:tblStylePr>
    <w:tblStylePr w:type="band1Vert">
      <w:tblPr/>
      <w:tcPr>
        <w:shd w:val="clear" w:color="D5E5F4" w:fill="D5E5F4" w:themeFill="accent1" w:themeFillTint="40"/>
      </w:tcPr>
    </w:tblStylePr>
    <w:tblStylePr w:type="band1Horz">
      <w:rPr>
        <w:color w:val="245A8D" w:themeColor="accent1" w:themeShade="95"/>
        <w:sz w:val="22"/>
      </w:rPr>
      <w:tblPr/>
      <w:tcPr>
        <w:shd w:val="clear" w:color="D5E5F4" w:fill="D5E5F4" w:themeFill="accent1" w:themeFillTint="40"/>
      </w:tcPr>
    </w:tblStylePr>
    <w:tblStylePr w:type="band2Horz">
      <w:rPr>
        <w:color w:val="245A8D"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F4B184" w:themeColor="accent2" w:themeTint="97" w:sz="4" w:space="0"/>
      </w:tblBorders>
    </w:tblPr>
    <w:tblStylePr w:type="firstRow">
      <w:rPr>
        <w:i/>
        <w:color w:val="F4B184" w:themeColor="accent2" w:themeTint="97" w:themeShade="95"/>
        <w:sz w:val="22"/>
      </w:rPr>
      <w:tblPr/>
      <w:tcPr>
        <w:tcBorders>
          <w:top w:val="none" w:color="auto" w:sz="0" w:space="0"/>
          <w:left w:val="none" w:color="auto" w:sz="0" w:space="0"/>
          <w:bottom w:val="single" w:color="F4B184" w:themeColor="accent2" w:sz="4" w:space="0"/>
          <w:right w:val="none" w:color="auto" w:sz="0" w:space="0"/>
        </w:tcBorders>
        <w:shd w:val="clear" w:color="FFFFFF" w:fill="FFFFFF" w:themeFill="light1"/>
      </w:tcPr>
    </w:tblStylePr>
    <w:tblStylePr w:type="lastRow">
      <w:rPr>
        <w:i/>
        <w:color w:val="F4B184" w:themeColor="accent2" w:themeTint="97" w:themeShade="95"/>
        <w:sz w:val="22"/>
      </w:rPr>
      <w:tblPr/>
      <w:tcPr>
        <w:tcBorders>
          <w:top w:val="single" w:color="F4B184"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4B184" w:themeColor="accent2" w:themeTint="97" w:themeShade="95"/>
        <w:sz w:val="22"/>
      </w:rPr>
      <w:tblPr/>
      <w:tcPr>
        <w:tcBorders>
          <w:top w:val="none" w:color="auto" w:sz="0" w:space="0"/>
          <w:left w:val="none" w:color="auto" w:sz="0" w:space="0"/>
          <w:bottom w:val="none" w:color="auto" w:sz="0" w:space="0"/>
          <w:right w:val="single" w:color="F4B184" w:themeColor="accent2" w:sz="4" w:space="0"/>
        </w:tcBorders>
        <w:shd w:val="clear" w:color="FFFFFF" w:fill="auto"/>
      </w:tcPr>
    </w:tblStylePr>
    <w:tblStylePr w:type="lastCol">
      <w:rPr>
        <w:i/>
        <w:color w:val="F4B184" w:themeColor="accent2" w:themeTint="97" w:themeShade="95"/>
        <w:sz w:val="22"/>
      </w:rPr>
      <w:tblPr/>
      <w:tcPr>
        <w:tcBorders>
          <w:top w:val="none" w:color="auto" w:sz="0" w:space="0"/>
          <w:left w:val="single" w:color="F4B184" w:themeColor="accent2" w:sz="4" w:space="0"/>
          <w:bottom w:val="none" w:color="auto" w:sz="0" w:space="0"/>
          <w:right w:val="none" w:color="auto" w:sz="0" w:space="0"/>
        </w:tcBorders>
        <w:shd w:val="clear" w:color="FFFFFF" w:fill="auto"/>
      </w:tc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9C9C9" w:themeColor="accent3" w:themeTint="98" w:sz="4" w:space="0"/>
      </w:tblBorders>
    </w:tblPr>
    <w:tblStylePr w:type="firstRow">
      <w:rPr>
        <w:i/>
        <w:color w:val="C9C9C9" w:themeColor="accent3" w:themeTint="98" w:themeShade="95"/>
        <w:sz w:val="22"/>
      </w:rPr>
      <w:tblPr/>
      <w:tcPr>
        <w:tcBorders>
          <w:top w:val="none" w:color="auto" w:sz="0" w:space="0"/>
          <w:left w:val="none" w:color="auto" w:sz="0" w:space="0"/>
          <w:bottom w:val="single" w:color="C9C9C9" w:themeColor="accent3" w:sz="4" w:space="0"/>
          <w:right w:val="none" w:color="auto" w:sz="0" w:space="0"/>
        </w:tcBorders>
        <w:shd w:val="clear" w:color="FFFFFF" w:fill="FFFFFF" w:themeFill="light1"/>
      </w:tcPr>
    </w:tblStylePr>
    <w:tblStylePr w:type="lastRow">
      <w:rPr>
        <w:i/>
        <w:color w:val="C9C9C9" w:themeColor="accent3" w:themeTint="98" w:themeShade="95"/>
        <w:sz w:val="22"/>
      </w:rPr>
      <w:tblPr/>
      <w:tcPr>
        <w:tcBorders>
          <w:top w:val="single" w:color="C9C9C9"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C9C9C9" w:themeColor="accent3" w:themeTint="98" w:themeShade="95"/>
        <w:sz w:val="22"/>
      </w:rPr>
      <w:tblPr/>
      <w:tcPr>
        <w:tcBorders>
          <w:top w:val="none" w:color="auto" w:sz="0" w:space="0"/>
          <w:left w:val="none" w:color="auto" w:sz="0" w:space="0"/>
          <w:bottom w:val="none" w:color="auto" w:sz="0" w:space="0"/>
          <w:right w:val="single" w:color="C9C9C9" w:themeColor="accent3" w:sz="4" w:space="0"/>
        </w:tcBorders>
        <w:shd w:val="clear" w:color="FFFFFF" w:fill="auto"/>
      </w:tcPr>
    </w:tblStylePr>
    <w:tblStylePr w:type="lastCol">
      <w:rPr>
        <w:i/>
        <w:color w:val="C9C9C9" w:themeColor="accent3" w:themeTint="98" w:themeShade="95"/>
        <w:sz w:val="22"/>
      </w:rPr>
      <w:tblPr/>
      <w:tcPr>
        <w:tcBorders>
          <w:top w:val="none" w:color="auto" w:sz="0" w:space="0"/>
          <w:left w:val="single" w:color="C9C9C9" w:themeColor="accent3" w:sz="4" w:space="0"/>
          <w:bottom w:val="none" w:color="auto" w:sz="0" w:space="0"/>
          <w:right w:val="none" w:color="auto" w:sz="0" w:space="0"/>
        </w:tcBorders>
        <w:shd w:val="clear" w:color="FFFFFF" w:fill="auto"/>
      </w:tc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FFD865" w:themeColor="accent4" w:themeTint="9a" w:sz="4" w:space="0"/>
      </w:tblBorders>
    </w:tblPr>
    <w:tblStylePr w:type="firstRow">
      <w:rPr>
        <w:i/>
        <w:color w:val="FFD865" w:themeColor="accent4" w:themeTint="9a" w:themeShade="95"/>
        <w:sz w:val="22"/>
      </w:rPr>
      <w:tblPr/>
      <w:tcPr>
        <w:tcBorders>
          <w:top w:val="none" w:color="auto" w:sz="0" w:space="0"/>
          <w:left w:val="none" w:color="auto" w:sz="0" w:space="0"/>
          <w:bottom w:val="single" w:color="FFD865" w:themeColor="accent4" w:sz="4" w:space="0"/>
          <w:right w:val="none" w:color="auto" w:sz="0" w:space="0"/>
        </w:tcBorders>
        <w:shd w:val="clear" w:color="FFFFFF" w:fill="FFFFFF" w:themeFill="light1"/>
      </w:tcPr>
    </w:tblStylePr>
    <w:tblStylePr w:type="lastRow">
      <w:rPr>
        <w:i/>
        <w:color w:val="FFD865" w:themeColor="accent4" w:themeTint="9a" w:themeShade="95"/>
        <w:sz w:val="22"/>
      </w:rPr>
      <w:tblPr/>
      <w:tcPr>
        <w:tcBorders>
          <w:top w:val="single" w:color="FFD865"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FD865" w:themeColor="accent4" w:themeTint="9a" w:themeShade="95"/>
        <w:sz w:val="22"/>
      </w:rPr>
      <w:tblPr/>
      <w:tcPr>
        <w:tcBorders>
          <w:top w:val="none" w:color="auto" w:sz="0" w:space="0"/>
          <w:left w:val="none" w:color="auto" w:sz="0" w:space="0"/>
          <w:bottom w:val="none" w:color="auto" w:sz="0" w:space="0"/>
          <w:right w:val="single" w:color="FFD865" w:themeColor="accent4" w:sz="4" w:space="0"/>
        </w:tcBorders>
        <w:shd w:val="clear" w:color="FFFFFF" w:fill="auto"/>
      </w:tcPr>
    </w:tblStylePr>
    <w:tblStylePr w:type="lastCol">
      <w:rPr>
        <w:i/>
        <w:color w:val="FFD865" w:themeColor="accent4" w:themeTint="9a" w:themeShade="95"/>
        <w:sz w:val="22"/>
      </w:rPr>
      <w:tblPr/>
      <w:tcPr>
        <w:tcBorders>
          <w:top w:val="none" w:color="auto" w:sz="0" w:space="0"/>
          <w:left w:val="single" w:color="FFD865" w:themeColor="accent4" w:sz="4" w:space="0"/>
          <w:bottom w:val="none" w:color="auto" w:sz="0" w:space="0"/>
          <w:right w:val="none" w:color="auto" w:sz="0" w:space="0"/>
        </w:tcBorders>
        <w:shd w:val="clear" w:color="FFFFFF" w:fill="auto"/>
      </w:tc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8DA9DB" w:themeColor="accent5" w:themeTint="9a" w:sz="4" w:space="0"/>
      </w:tblBorders>
    </w:tblPr>
    <w:tblStylePr w:type="firstRow">
      <w:rPr>
        <w:i/>
        <w:color w:val="8DA9DB" w:themeColor="accent5" w:themeTint="9a" w:themeShade="95"/>
        <w:sz w:val="22"/>
      </w:rPr>
      <w:tblPr/>
      <w:tcPr>
        <w:tcBorders>
          <w:top w:val="none" w:color="auto" w:sz="0" w:space="0"/>
          <w:left w:val="none" w:color="auto" w:sz="0" w:space="0"/>
          <w:bottom w:val="single" w:color="8DA9DB" w:themeColor="accent5" w:sz="4" w:space="0"/>
          <w:right w:val="none" w:color="auto" w:sz="0" w:space="0"/>
        </w:tcBorders>
        <w:shd w:val="clear" w:color="FFFFFF" w:fill="FFFFFF" w:themeFill="light1"/>
      </w:tcPr>
    </w:tblStylePr>
    <w:tblStylePr w:type="lastRow">
      <w:rPr>
        <w:i/>
        <w:color w:val="8DA9DB" w:themeColor="accent5" w:themeTint="9a" w:themeShade="95"/>
        <w:sz w:val="22"/>
      </w:rPr>
      <w:tblPr/>
      <w:tcPr>
        <w:tcBorders>
          <w:top w:val="single" w:color="8DA9DB"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8DA9DB" w:themeColor="accent5" w:themeTint="9a" w:themeShade="95"/>
        <w:sz w:val="22"/>
      </w:rPr>
      <w:tblPr/>
      <w:tcPr>
        <w:tcBorders>
          <w:top w:val="none" w:color="auto" w:sz="0" w:space="0"/>
          <w:left w:val="none" w:color="auto" w:sz="0" w:space="0"/>
          <w:bottom w:val="none" w:color="auto" w:sz="0" w:space="0"/>
          <w:right w:val="single" w:color="8DA9DB" w:themeColor="accent5" w:sz="4" w:space="0"/>
        </w:tcBorders>
        <w:shd w:val="clear" w:color="FFFFFF" w:fill="auto"/>
      </w:tcPr>
    </w:tblStylePr>
    <w:tblStylePr w:type="lastCol">
      <w:rPr>
        <w:i/>
        <w:color w:val="8DA9DB" w:themeColor="accent5" w:themeTint="9a" w:themeShade="95"/>
        <w:sz w:val="22"/>
      </w:rPr>
      <w:tblPr/>
      <w:tcPr>
        <w:tcBorders>
          <w:top w:val="none" w:color="auto" w:sz="0" w:space="0"/>
          <w:left w:val="single" w:color="8DA9DB" w:themeColor="accent5" w:sz="4" w:space="0"/>
          <w:bottom w:val="none" w:color="auto" w:sz="0" w:space="0"/>
          <w:right w:val="none" w:color="auto" w:sz="0" w:space="0"/>
        </w:tcBorders>
        <w:shd w:val="clear" w:color="FFFFFF" w:fill="auto"/>
      </w:tcPr>
    </w:tblStylePr>
    <w:tblStylePr w:type="band1Vert">
      <w:tblPr/>
      <w:tcPr>
        <w:shd w:val="clear" w:color="CFDBF0" w:fill="CFDBF0" w:themeFill="accent5" w:themeFillTint="40"/>
      </w:tcPr>
    </w:tblStylePr>
    <w:tblStylePr w:type="band1Horz">
      <w:rPr>
        <w:color w:val="8DA9DB" w:themeColor="accent5" w:themeTint="9a" w:themeShade="95"/>
        <w:sz w:val="22"/>
      </w:rPr>
      <w:tblPr/>
      <w:tcPr>
        <w:shd w:val="clear" w:color="CFDBF0" w:fill="CFDBF0" w:themeFill="accent5" w:themeFillTint="40"/>
      </w:tcPr>
    </w:tblStylePr>
    <w:tblStylePr w:type="band2Horz">
      <w:rPr>
        <w:color w:val="8DA9DB"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A9D08E" w:themeColor="accent6" w:themeTint="98" w:sz="4" w:space="0"/>
      </w:tblBorders>
    </w:tblPr>
    <w:tblStylePr w:type="firstRow">
      <w:rPr>
        <w:i/>
        <w:color w:val="A9D08E" w:themeColor="accent6" w:themeTint="98" w:themeShade="95"/>
        <w:sz w:val="22"/>
      </w:rPr>
      <w:tblPr/>
      <w:tcPr>
        <w:tcBorders>
          <w:top w:val="none" w:color="auto" w:sz="0" w:space="0"/>
          <w:left w:val="none" w:color="auto" w:sz="0" w:space="0"/>
          <w:bottom w:val="single" w:color="A9D08E" w:themeColor="accent6" w:sz="4" w:space="0"/>
          <w:right w:val="none" w:color="auto" w:sz="0" w:space="0"/>
        </w:tcBorders>
        <w:shd w:val="clear" w:color="FFFFFF" w:fill="FFFFFF" w:themeFill="light1"/>
      </w:tcPr>
    </w:tblStylePr>
    <w:tblStylePr w:type="lastRow">
      <w:rPr>
        <w:i/>
        <w:color w:val="A9D08E" w:themeColor="accent6" w:themeTint="98" w:themeShade="95"/>
        <w:sz w:val="22"/>
      </w:rPr>
      <w:tblPr/>
      <w:tcPr>
        <w:tcBorders>
          <w:top w:val="single" w:color="A9D08E"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9D08E" w:themeColor="accent6" w:themeTint="98" w:themeShade="95"/>
        <w:sz w:val="22"/>
      </w:rPr>
      <w:tblPr/>
      <w:tcPr>
        <w:tcBorders>
          <w:top w:val="none" w:color="auto" w:sz="0" w:space="0"/>
          <w:left w:val="none" w:color="auto" w:sz="0" w:space="0"/>
          <w:bottom w:val="none" w:color="auto" w:sz="0" w:space="0"/>
          <w:right w:val="single" w:color="A9D08E" w:themeColor="accent6" w:sz="4" w:space="0"/>
        </w:tcBorders>
        <w:shd w:val="clear" w:color="FFFFFF" w:fill="auto"/>
      </w:tcPr>
    </w:tblStylePr>
    <w:tblStylePr w:type="lastCol">
      <w:rPr>
        <w:i/>
        <w:color w:val="A9D08E" w:themeColor="accent6" w:themeTint="98" w:themeShade="95"/>
        <w:sz w:val="22"/>
      </w:rPr>
      <w:tblPr/>
      <w:tcPr>
        <w:tcBorders>
          <w:top w:val="none" w:color="auto" w:sz="0" w:space="0"/>
          <w:left w:val="single" w:color="A9D08E" w:themeColor="accent6" w:sz="4" w:space="0"/>
          <w:bottom w:val="none" w:color="auto" w:sz="0" w:space="0"/>
          <w:right w:val="none" w:color="auto" w:sz="0" w:space="0"/>
        </w:tcBorders>
        <w:shd w:val="clear" w:color="FFFFFF" w:fill="auto"/>
      </w:tc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Pr/>
    </w:tblStylePr>
  </w:style>
  <w:style w:type="table" w:customStyle="1" w:styleId="Lined-Accent">
    <w:name w:val="Lined - Accent"/>
    <w:basedOn w:val="a1"/>
    <w:uiPriority w:val="99"/>
    <w:rPr>
      <w:color w:val="404040"/>
    </w:rPr>
    <w:tblPr>
      <w:tblStyleRowBandSize w:val="1"/>
      <w:tblStyleColBandSize w:val="1"/>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Pr/>
    </w:tblStylePr>
    <w:tblStylePr w:type="band2Vert">
      <w:rPr>
        <w:color w:val="404040"/>
        <w:sz w:val="22"/>
      </w:rPr>
      <w:tblPr/>
      <w:tcPr>
        <w:shd w:val="clear" w:color="F2F2F2" w:fill="F2F2F2" w:themeFill="text1" w:themeFillTint="d"/>
      </w:tcPr>
    </w:tblStylePr>
    <w:tblStylePr w:type="band1Horz">
      <w:rPr>
        <w:color w:val="404040"/>
        <w:sz w:val="22"/>
      </w:rPr>
      <w:tblPr/>
    </w:tblStylePr>
    <w:tblStylePr w:type="band2Horz">
      <w:rPr>
        <w:color w:val="404040"/>
        <w:sz w:val="22"/>
      </w:rPr>
      <w:tblPr/>
      <w:tcPr>
        <w:shd w:val="clear" w:color="F2F2F2" w:fill="F2F2F2" w:themeFill="text1" w:themeFillTint="d"/>
      </w:tcPr>
    </w:tblStylePr>
  </w:style>
  <w:style w:type="table" w:customStyle="1" w:styleId="Lined-Accent1">
    <w:name w:val="Lined - Accent 1"/>
    <w:basedOn w:val="a1"/>
    <w:uiPriority w:val="99"/>
    <w:rPr>
      <w:color w:val="404040"/>
    </w:rPr>
    <w:tblPr>
      <w:tblStyleRowBandSize w:val="1"/>
      <w:tblStyleColBandSize w:val="1"/>
    </w:tblPr>
    <w:tblStylePr w:type="firstRow">
      <w:rPr>
        <w:color w:val="F2F2F2"/>
        <w:sz w:val="22"/>
      </w:rPr>
      <w:tblPr/>
      <w:tcPr>
        <w:shd w:val="clear" w:color="68A2D8" w:fill="68A2D8" w:themeFill="accent1" w:themeFillTint="ea"/>
      </w:tcPr>
    </w:tblStylePr>
    <w:tblStylePr w:type="lastRow">
      <w:rPr>
        <w:color w:val="F2F2F2"/>
        <w:sz w:val="22"/>
      </w:rPr>
      <w:tblPr/>
      <w:tcPr>
        <w:shd w:val="clear" w:color="68A2D8" w:fill="68A2D8" w:themeFill="accent1" w:themeFillTint="ea"/>
      </w:tcPr>
    </w:tblStylePr>
    <w:tblStylePr w:type="firstCol">
      <w:rPr>
        <w:color w:val="F2F2F2"/>
        <w:sz w:val="22"/>
      </w:rPr>
      <w:tblPr/>
      <w:tcPr>
        <w:shd w:val="clear" w:color="68A2D8" w:fill="68A2D8" w:themeFill="accent1" w:themeFillTint="ea"/>
      </w:tcPr>
    </w:tblStylePr>
    <w:tblStylePr w:type="lastCol">
      <w:rPr>
        <w:color w:val="F2F2F2"/>
        <w:sz w:val="22"/>
      </w:rPr>
      <w:tblPr/>
      <w:tcPr>
        <w:shd w:val="clear" w:color="68A2D8" w:fill="68A2D8" w:themeFill="accent1" w:themeFillTint="ea"/>
      </w:tcPr>
    </w:tblStylePr>
    <w:tblStylePr w:type="band1Vert">
      <w:rPr>
        <w:color w:val="404040"/>
        <w:sz w:val="22"/>
      </w:rPr>
      <w:tblPr/>
    </w:tblStylePr>
    <w:tblStylePr w:type="band2Vert">
      <w:rPr>
        <w:color w:val="404040"/>
        <w:sz w:val="22"/>
      </w:rPr>
      <w:tblPr/>
      <w:tcPr>
        <w:shd w:val="clear" w:color="CBDFF1" w:fill="CBDFF1" w:themeFill="accent1" w:themeFillTint="50"/>
      </w:tcPr>
    </w:tblStylePr>
    <w:tblStylePr w:type="band1Horz">
      <w:rPr>
        <w:color w:val="404040"/>
        <w:sz w:val="22"/>
      </w:rPr>
      <w:tblPr/>
    </w:tblStylePr>
    <w:tblStylePr w:type="band2Horz">
      <w:rPr>
        <w:color w:val="404040"/>
        <w:sz w:val="22"/>
      </w:rPr>
      <w:tblPr/>
      <w:tcPr>
        <w:shd w:val="clear" w:color="CBDFF1"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color w:val="F2F2F2"/>
        <w:sz w:val="22"/>
      </w:rPr>
      <w:tblPr/>
      <w:tcPr>
        <w:shd w:val="clear" w:color="F4B184" w:fill="F4B184" w:themeFill="accent2" w:themeFillTint="97"/>
      </w:tcPr>
    </w:tblStylePr>
    <w:tblStylePr w:type="lastRow">
      <w:rPr>
        <w:color w:val="F2F2F2"/>
        <w:sz w:val="22"/>
      </w:rPr>
      <w:tblPr/>
      <w:tcPr>
        <w:shd w:val="clear" w:color="F4B184" w:fill="F4B184" w:themeFill="accent2" w:themeFillTint="97"/>
      </w:tcPr>
    </w:tblStylePr>
    <w:tblStylePr w:type="firstCol">
      <w:rPr>
        <w:color w:val="F2F2F2"/>
        <w:sz w:val="22"/>
      </w:rPr>
      <w:tblPr/>
      <w:tcPr>
        <w:shd w:val="clear" w:color="F4B184" w:fill="F4B184" w:themeFill="accent2" w:themeFillTint="97"/>
      </w:tcPr>
    </w:tblStylePr>
    <w:tblStylePr w:type="lastCol">
      <w:rPr>
        <w:color w:val="F2F2F2"/>
        <w:sz w:val="22"/>
      </w:rPr>
      <w:tblPr/>
      <w:tcPr>
        <w:shd w:val="clear" w:color="F4B184" w:fill="F4B184" w:themeFill="accent2" w:themeFillTint="97"/>
      </w:tcPr>
    </w:tblStylePr>
    <w:tblStylePr w:type="band1Vert">
      <w:rPr>
        <w:color w:val="404040"/>
        <w:sz w:val="22"/>
      </w:rPr>
      <w:tblPr/>
    </w:tblStylePr>
    <w:tblStylePr w:type="band2Vert">
      <w:rPr>
        <w:color w:val="404040"/>
        <w:sz w:val="22"/>
      </w:rPr>
      <w:tblPr/>
      <w:tcPr>
        <w:shd w:val="clear" w:color="FBE5D6" w:fill="FBE5D6" w:themeFill="accent2" w:themeFillTint="32"/>
      </w:tcPr>
    </w:tblStylePr>
    <w:tblStylePr w:type="band1Horz">
      <w:rPr>
        <w:color w:val="404040"/>
        <w:sz w:val="22"/>
      </w:rPr>
      <w:tblPr/>
    </w:tblStylePr>
    <w:tblStylePr w:type="band2Horz">
      <w:rPr>
        <w:color w:val="404040"/>
        <w:sz w:val="22"/>
      </w:rPr>
      <w:tblPr/>
      <w:tcPr>
        <w:shd w:val="clear" w:color="FBE5D6"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color w:val="F2F2F2"/>
        <w:sz w:val="22"/>
      </w:rPr>
      <w:tblPr/>
      <w:tcPr>
        <w:shd w:val="clear" w:color="A5A5A5" w:fill="A5A5A5" w:themeFill="accent3" w:themeFillTint="fe"/>
      </w:tcPr>
    </w:tblStylePr>
    <w:tblStylePr w:type="lastRow">
      <w:rPr>
        <w:color w:val="F2F2F2"/>
        <w:sz w:val="22"/>
      </w:rPr>
      <w:tblPr/>
      <w:tcPr>
        <w:shd w:val="clear" w:color="A5A5A5" w:fill="A5A5A5" w:themeFill="accent3" w:themeFillTint="fe"/>
      </w:tcPr>
    </w:tblStylePr>
    <w:tblStylePr w:type="firstCol">
      <w:rPr>
        <w:color w:val="F2F2F2"/>
        <w:sz w:val="22"/>
      </w:rPr>
      <w:tblPr/>
      <w:tcPr>
        <w:shd w:val="clear" w:color="A5A5A5" w:fill="A5A5A5" w:themeFill="accent3" w:themeFillTint="fe"/>
      </w:tcPr>
    </w:tblStylePr>
    <w:tblStylePr w:type="lastCol">
      <w:rPr>
        <w:color w:val="F2F2F2"/>
        <w:sz w:val="22"/>
      </w:rPr>
      <w:tblPr/>
      <w:tcPr>
        <w:shd w:val="clear" w:color="A5A5A5" w:fill="A5A5A5" w:themeFill="accent3" w:themeFillTint="fe"/>
      </w:tcPr>
    </w:tblStylePr>
    <w:tblStylePr w:type="band1Vert">
      <w:rPr>
        <w:color w:val="404040"/>
        <w:sz w:val="22"/>
      </w:rPr>
      <w:tblPr/>
    </w:tblStylePr>
    <w:tblStylePr w:type="band2Vert">
      <w:rPr>
        <w:color w:val="404040"/>
        <w:sz w:val="22"/>
      </w:rPr>
      <w:tblPr/>
      <w:tcPr>
        <w:shd w:val="clear" w:color="ECECEC" w:fill="ECECEC" w:themeFill="accent3" w:themeFillTint="34"/>
      </w:tcPr>
    </w:tblStylePr>
    <w:tblStylePr w:type="band1Horz">
      <w:rPr>
        <w:color w:val="404040"/>
        <w:sz w:val="22"/>
      </w:rPr>
      <w:tblPr/>
    </w:tblStylePr>
    <w:tblStylePr w:type="band2Horz">
      <w:rPr>
        <w:color w:val="404040"/>
        <w:sz w:val="22"/>
      </w:rPr>
      <w:tblPr/>
      <w:tcPr>
        <w:shd w:val="clear" w:color="ECECEC"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color w:val="F2F2F2"/>
        <w:sz w:val="22"/>
      </w:rPr>
      <w:tblPr/>
      <w:tcPr>
        <w:shd w:val="clear" w:color="FFD865" w:fill="FFD865" w:themeFill="accent4" w:themeFillTint="9a"/>
      </w:tcPr>
    </w:tblStylePr>
    <w:tblStylePr w:type="lastRow">
      <w:rPr>
        <w:color w:val="F2F2F2"/>
        <w:sz w:val="22"/>
      </w:rPr>
      <w:tblPr/>
      <w:tcPr>
        <w:shd w:val="clear" w:color="FFD865" w:fill="FFD865" w:themeFill="accent4" w:themeFillTint="9a"/>
      </w:tcPr>
    </w:tblStylePr>
    <w:tblStylePr w:type="firstCol">
      <w:rPr>
        <w:color w:val="F2F2F2"/>
        <w:sz w:val="22"/>
      </w:rPr>
      <w:tblPr/>
      <w:tcPr>
        <w:shd w:val="clear" w:color="FFD865" w:fill="FFD865" w:themeFill="accent4" w:themeFillTint="9a"/>
      </w:tcPr>
    </w:tblStylePr>
    <w:tblStylePr w:type="lastCol">
      <w:rPr>
        <w:color w:val="F2F2F2"/>
        <w:sz w:val="22"/>
      </w:rPr>
      <w:tblPr/>
      <w:tcPr>
        <w:shd w:val="clear" w:color="FFD865" w:fill="FFD865" w:themeFill="accent4" w:themeFillTint="9a"/>
      </w:tcPr>
    </w:tblStylePr>
    <w:tblStylePr w:type="band1Vert">
      <w:rPr>
        <w:color w:val="404040"/>
        <w:sz w:val="22"/>
      </w:rPr>
      <w:tblPr/>
    </w:tblStylePr>
    <w:tblStylePr w:type="band2Vert">
      <w:rPr>
        <w:color w:val="404040"/>
        <w:sz w:val="22"/>
      </w:rPr>
      <w:tblPr/>
      <w:tcPr>
        <w:shd w:val="clear" w:color="FFF2CB" w:fill="FFF2CB" w:themeFill="accent4" w:themeFillTint="34"/>
      </w:tcPr>
    </w:tblStylePr>
    <w:tblStylePr w:type="band1Horz">
      <w:rPr>
        <w:color w:val="404040"/>
        <w:sz w:val="22"/>
      </w:rPr>
      <w:tblPr/>
    </w:tblStylePr>
    <w:tblStylePr w:type="band2Horz">
      <w:rPr>
        <w:color w:val="404040"/>
        <w:sz w:val="22"/>
      </w:rPr>
      <w:tblPr/>
      <w:tcPr>
        <w:shd w:val="clear" w:color="FFF2CB"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color w:val="F2F2F2"/>
        <w:sz w:val="22"/>
      </w:rPr>
      <w:tblPr/>
      <w:tcPr>
        <w:shd w:val="clear" w:color="4472C4" w:fill="4472C4" w:themeFill="accent5"/>
      </w:tcPr>
    </w:tblStylePr>
    <w:tblStylePr w:type="lastRow">
      <w:rPr>
        <w:color w:val="F2F2F2"/>
        <w:sz w:val="22"/>
      </w:rPr>
      <w:tblPr/>
      <w:tcPr>
        <w:shd w:val="clear" w:color="4472C4" w:fill="4472C4" w:themeFill="accent5"/>
      </w:tcPr>
    </w:tblStylePr>
    <w:tblStylePr w:type="firstCol">
      <w:rPr>
        <w:color w:val="F2F2F2"/>
        <w:sz w:val="22"/>
      </w:rPr>
      <w:tblPr/>
      <w:tcPr>
        <w:shd w:val="clear" w:color="4472C4" w:fill="4472C4" w:themeFill="accent5"/>
      </w:tcPr>
    </w:tblStylePr>
    <w:tblStylePr w:type="lastCol">
      <w:rPr>
        <w:color w:val="F2F2F2"/>
        <w:sz w:val="22"/>
      </w:rPr>
      <w:tblPr/>
      <w:tcPr>
        <w:shd w:val="clear" w:color="4472C4" w:fill="4472C4" w:themeFill="accent5"/>
      </w:tcPr>
    </w:tblStylePr>
    <w:tblStylePr w:type="band1Vert">
      <w:rPr>
        <w:color w:val="404040"/>
        <w:sz w:val="22"/>
      </w:rPr>
      <w:tblPr/>
    </w:tblStylePr>
    <w:tblStylePr w:type="band2Vert">
      <w:rPr>
        <w:color w:val="404040"/>
        <w:sz w:val="22"/>
      </w:rPr>
      <w:tblPr/>
      <w:tcPr>
        <w:shd w:val="clear" w:color="D8E2F3" w:fill="D8E2F3" w:themeFill="accent5" w:themeFillTint="34"/>
      </w:tcPr>
    </w:tblStylePr>
    <w:tblStylePr w:type="band1Horz">
      <w:rPr>
        <w:color w:val="404040"/>
        <w:sz w:val="22"/>
      </w:rPr>
      <w:tblPr/>
    </w:tblStylePr>
    <w:tblStylePr w:type="band2Horz">
      <w:rPr>
        <w:color w:val="404040"/>
        <w:sz w:val="22"/>
      </w:rPr>
      <w:tblPr/>
      <w:tcPr>
        <w:shd w:val="clear" w:color="D8E2F3"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color w:val="F2F2F2"/>
        <w:sz w:val="22"/>
      </w:rPr>
      <w:tblPr/>
      <w:tcPr>
        <w:shd w:val="clear" w:color="70AD47" w:fill="70AD47" w:themeFill="accent6"/>
      </w:tcPr>
    </w:tblStylePr>
    <w:tblStylePr w:type="lastRow">
      <w:rPr>
        <w:color w:val="F2F2F2"/>
        <w:sz w:val="22"/>
      </w:rPr>
      <w:tblPr/>
      <w:tcPr>
        <w:shd w:val="clear" w:color="70AD47" w:fill="70AD47" w:themeFill="accent6"/>
      </w:tcPr>
    </w:tblStylePr>
    <w:tblStylePr w:type="firstCol">
      <w:rPr>
        <w:color w:val="F2F2F2"/>
        <w:sz w:val="22"/>
      </w:rPr>
      <w:tblPr/>
      <w:tcPr>
        <w:shd w:val="clear" w:color="70AD47" w:fill="70AD47" w:themeFill="accent6"/>
      </w:tcPr>
    </w:tblStylePr>
    <w:tblStylePr w:type="lastCol">
      <w:rPr>
        <w:color w:val="F2F2F2"/>
        <w:sz w:val="22"/>
      </w:rPr>
      <w:tblPr/>
      <w:tcPr>
        <w:shd w:val="clear" w:color="70AD47" w:fill="70AD47" w:themeFill="accent6"/>
      </w:tcPr>
    </w:tblStylePr>
    <w:tblStylePr w:type="band1Vert">
      <w:rPr>
        <w:color w:val="404040"/>
        <w:sz w:val="22"/>
      </w:rPr>
      <w:tblPr/>
    </w:tblStylePr>
    <w:tblStylePr w:type="band2Vert">
      <w:rPr>
        <w:color w:val="404040"/>
        <w:sz w:val="22"/>
      </w:rPr>
      <w:tblPr/>
      <w:tcPr>
        <w:shd w:val="clear" w:color="E1EFD8" w:fill="E1EFD8" w:themeFill="accent6" w:themeFillTint="34"/>
      </w:tcPr>
    </w:tblStylePr>
    <w:tblStylePr w:type="band1Horz">
      <w:rPr>
        <w:color w:val="404040"/>
        <w:sz w:val="22"/>
      </w:rPr>
      <w:tblPr/>
    </w:tblStylePr>
    <w:tblStylePr w:type="band2Horz">
      <w:rPr>
        <w:color w:val="404040"/>
        <w:sz w:val="22"/>
      </w:rPr>
      <w:tblPr/>
      <w:tcPr>
        <w:shd w:val="clear" w:color="E1EFD8"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Pr/>
    </w:tblStylePr>
    <w:tblStylePr w:type="band2Vert">
      <w:rPr>
        <w:color w:val="404040"/>
        <w:sz w:val="22"/>
      </w:rPr>
      <w:tblPr/>
      <w:tcPr>
        <w:shd w:val="clear" w:color="F2F2F2" w:fill="F2F2F2" w:themeFill="text1" w:themeFillTint="d"/>
      </w:tcPr>
    </w:tblStylePr>
    <w:tblStylePr w:type="band1Horz">
      <w:rPr>
        <w:color w:val="404040"/>
        <w:sz w:val="22"/>
      </w:rPr>
      <w:tblPr/>
    </w:tblStylePr>
    <w:tblStylePr w:type="band2Horz">
      <w:rPr>
        <w:color w:val="404040"/>
        <w:sz w:val="22"/>
      </w:rPr>
      <w:tblPr/>
      <w:tcPr>
        <w:shd w:val="clear" w:color="F2F2F2" w:fill="F2F2F2" w:themeFill="text1" w:themeFillTint="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color="245A8D" w:themeColor="accent1" w:sz="4" w:space="0"/>
        <w:left w:val="single" w:color="245A8D" w:themeColor="accent1" w:sz="4" w:space="0"/>
        <w:bottom w:val="single" w:color="245A8D" w:themeColor="accent1" w:sz="4" w:space="0"/>
        <w:right w:val="single" w:color="245A8D" w:themeColor="accent1" w:sz="4" w:space="0"/>
        <w:insideH w:val="single" w:color="245A8D" w:themeColor="accent1" w:sz="4" w:space="0"/>
        <w:insideV w:val="single" w:color="245A8D" w:themeColor="accent1" w:sz="4" w:space="0"/>
      </w:tblBorders>
    </w:tblPr>
    <w:tblStylePr w:type="firstRow">
      <w:rPr>
        <w:color w:val="F2F2F2"/>
        <w:sz w:val="22"/>
      </w:rPr>
      <w:tblPr/>
      <w:tcPr>
        <w:shd w:val="clear" w:color="68A2D8" w:fill="68A2D8" w:themeFill="accent1" w:themeFillTint="ea"/>
      </w:tcPr>
    </w:tblStylePr>
    <w:tblStylePr w:type="lastRow">
      <w:rPr>
        <w:color w:val="F2F2F2"/>
        <w:sz w:val="22"/>
      </w:rPr>
      <w:tblPr/>
      <w:tcPr>
        <w:shd w:val="clear" w:color="68A2D8" w:fill="68A2D8" w:themeFill="accent1" w:themeFillTint="ea"/>
      </w:tcPr>
    </w:tblStylePr>
    <w:tblStylePr w:type="firstCol">
      <w:rPr>
        <w:color w:val="F2F2F2"/>
        <w:sz w:val="22"/>
      </w:rPr>
      <w:tblPr/>
      <w:tcPr>
        <w:shd w:val="clear" w:color="68A2D8" w:fill="68A2D8" w:themeFill="accent1" w:themeFillTint="ea"/>
      </w:tcPr>
    </w:tblStylePr>
    <w:tblStylePr w:type="lastCol">
      <w:rPr>
        <w:color w:val="F2F2F2"/>
        <w:sz w:val="22"/>
      </w:rPr>
      <w:tblPr/>
      <w:tcPr>
        <w:shd w:val="clear" w:color="68A2D8" w:fill="68A2D8" w:themeFill="accent1" w:themeFillTint="ea"/>
      </w:tcPr>
    </w:tblStylePr>
    <w:tblStylePr w:type="band1Vert">
      <w:rPr>
        <w:color w:val="404040"/>
        <w:sz w:val="22"/>
      </w:rPr>
      <w:tblPr/>
    </w:tblStylePr>
    <w:tblStylePr w:type="band2Vert">
      <w:rPr>
        <w:color w:val="404040"/>
        <w:sz w:val="22"/>
      </w:rPr>
      <w:tblPr/>
      <w:tcPr>
        <w:shd w:val="clear" w:color="CBDFF1" w:fill="CBDFF1" w:themeFill="accent1" w:themeFillTint="50"/>
      </w:tcPr>
    </w:tblStylePr>
    <w:tblStylePr w:type="band1Horz">
      <w:rPr>
        <w:color w:val="404040"/>
        <w:sz w:val="22"/>
      </w:rPr>
      <w:tblPr/>
    </w:tblStylePr>
    <w:tblStylePr w:type="band2Horz">
      <w:rPr>
        <w:color w:val="404040"/>
        <w:sz w:val="22"/>
      </w:rPr>
      <w:tblPr/>
      <w:tcPr>
        <w:shd w:val="clear" w:color="CBDFF1"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color="99460D" w:themeColor="accent2" w:sz="4" w:space="0"/>
        <w:left w:val="single" w:color="99460D" w:themeColor="accent2" w:sz="4" w:space="0"/>
        <w:bottom w:val="single" w:color="99460D" w:themeColor="accent2" w:sz="4" w:space="0"/>
        <w:right w:val="single" w:color="99460D" w:themeColor="accent2" w:sz="4" w:space="0"/>
        <w:insideH w:val="single" w:color="99460D" w:themeColor="accent2" w:sz="4" w:space="0"/>
        <w:insideV w:val="single" w:color="99460D" w:themeColor="accent2" w:sz="4" w:space="0"/>
      </w:tblBorders>
    </w:tblPr>
    <w:tblStylePr w:type="firstRow">
      <w:rPr>
        <w:color w:val="F2F2F2"/>
        <w:sz w:val="22"/>
      </w:rPr>
      <w:tblPr/>
      <w:tcPr>
        <w:shd w:val="clear" w:color="F4B184" w:fill="F4B184" w:themeFill="accent2" w:themeFillTint="97"/>
      </w:tcPr>
    </w:tblStylePr>
    <w:tblStylePr w:type="lastRow">
      <w:rPr>
        <w:color w:val="F2F2F2"/>
        <w:sz w:val="22"/>
      </w:rPr>
      <w:tblPr/>
      <w:tcPr>
        <w:shd w:val="clear" w:color="F4B184" w:fill="F4B184" w:themeFill="accent2" w:themeFillTint="97"/>
      </w:tcPr>
    </w:tblStylePr>
    <w:tblStylePr w:type="firstCol">
      <w:rPr>
        <w:color w:val="F2F2F2"/>
        <w:sz w:val="22"/>
      </w:rPr>
      <w:tblPr/>
      <w:tcPr>
        <w:shd w:val="clear" w:color="F4B184" w:fill="F4B184" w:themeFill="accent2" w:themeFillTint="97"/>
      </w:tcPr>
    </w:tblStylePr>
    <w:tblStylePr w:type="lastCol">
      <w:rPr>
        <w:color w:val="F2F2F2"/>
        <w:sz w:val="22"/>
      </w:rPr>
      <w:tblPr/>
      <w:tcPr>
        <w:shd w:val="clear" w:color="F4B184" w:fill="F4B184" w:themeFill="accent2" w:themeFillTint="97"/>
      </w:tcPr>
    </w:tblStylePr>
    <w:tblStylePr w:type="band1Vert">
      <w:rPr>
        <w:color w:val="404040"/>
        <w:sz w:val="22"/>
      </w:rPr>
      <w:tblPr/>
    </w:tblStylePr>
    <w:tblStylePr w:type="band2Vert">
      <w:rPr>
        <w:color w:val="404040"/>
        <w:sz w:val="22"/>
      </w:rPr>
      <w:tblPr/>
      <w:tcPr>
        <w:shd w:val="clear" w:color="FBE5D6" w:fill="FBE5D6" w:themeFill="accent2" w:themeFillTint="32"/>
      </w:tcPr>
    </w:tblStylePr>
    <w:tblStylePr w:type="band1Horz">
      <w:rPr>
        <w:color w:val="404040"/>
        <w:sz w:val="22"/>
      </w:rPr>
      <w:tblPr/>
    </w:tblStylePr>
    <w:tblStylePr w:type="band2Horz">
      <w:rPr>
        <w:color w:val="404040"/>
        <w:sz w:val="22"/>
      </w:rPr>
      <w:tblPr/>
      <w:tcPr>
        <w:shd w:val="clear" w:color="FBE5D6"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color="606060" w:themeColor="accent3" w:sz="4" w:space="0"/>
        <w:left w:val="single" w:color="606060" w:themeColor="accent3" w:sz="4" w:space="0"/>
        <w:bottom w:val="single" w:color="606060" w:themeColor="accent3" w:sz="4" w:space="0"/>
        <w:right w:val="single" w:color="606060" w:themeColor="accent3" w:sz="4" w:space="0"/>
        <w:insideH w:val="single" w:color="606060" w:themeColor="accent3" w:sz="4" w:space="0"/>
        <w:insideV w:val="single" w:color="606060" w:themeColor="accent3" w:sz="4" w:space="0"/>
      </w:tblBorders>
    </w:tblPr>
    <w:tblStylePr w:type="firstRow">
      <w:rPr>
        <w:color w:val="F2F2F2"/>
        <w:sz w:val="22"/>
      </w:rPr>
      <w:tblPr/>
      <w:tcPr>
        <w:shd w:val="clear" w:color="A5A5A5" w:fill="A5A5A5" w:themeFill="accent3" w:themeFillTint="fe"/>
      </w:tcPr>
    </w:tblStylePr>
    <w:tblStylePr w:type="lastRow">
      <w:rPr>
        <w:color w:val="F2F2F2"/>
        <w:sz w:val="22"/>
      </w:rPr>
      <w:tblPr/>
      <w:tcPr>
        <w:shd w:val="clear" w:color="A5A5A5" w:fill="A5A5A5" w:themeFill="accent3" w:themeFillTint="fe"/>
      </w:tcPr>
    </w:tblStylePr>
    <w:tblStylePr w:type="firstCol">
      <w:rPr>
        <w:color w:val="F2F2F2"/>
        <w:sz w:val="22"/>
      </w:rPr>
      <w:tblPr/>
      <w:tcPr>
        <w:shd w:val="clear" w:color="A5A5A5" w:fill="A5A5A5" w:themeFill="accent3" w:themeFillTint="fe"/>
      </w:tcPr>
    </w:tblStylePr>
    <w:tblStylePr w:type="lastCol">
      <w:rPr>
        <w:color w:val="F2F2F2"/>
        <w:sz w:val="22"/>
      </w:rPr>
      <w:tblPr/>
      <w:tcPr>
        <w:shd w:val="clear" w:color="A5A5A5" w:fill="A5A5A5" w:themeFill="accent3" w:themeFillTint="fe"/>
      </w:tcPr>
    </w:tblStylePr>
    <w:tblStylePr w:type="band1Vert">
      <w:rPr>
        <w:color w:val="404040"/>
        <w:sz w:val="22"/>
      </w:rPr>
      <w:tblPr/>
    </w:tblStylePr>
    <w:tblStylePr w:type="band2Vert">
      <w:rPr>
        <w:color w:val="404040"/>
        <w:sz w:val="22"/>
      </w:rPr>
      <w:tblPr/>
      <w:tcPr>
        <w:shd w:val="clear" w:color="ECECEC" w:fill="ECECEC" w:themeFill="accent3" w:themeFillTint="34"/>
      </w:tcPr>
    </w:tblStylePr>
    <w:tblStylePr w:type="band1Horz">
      <w:rPr>
        <w:color w:val="404040"/>
        <w:sz w:val="22"/>
      </w:rPr>
      <w:tblPr/>
    </w:tblStylePr>
    <w:tblStylePr w:type="band2Horz">
      <w:rPr>
        <w:color w:val="404040"/>
        <w:sz w:val="22"/>
      </w:rPr>
      <w:tblPr/>
      <w:tcPr>
        <w:shd w:val="clear" w:color="ECECEC"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color="957000" w:themeColor="accent4" w:sz="4" w:space="0"/>
        <w:left w:val="single" w:color="957000" w:themeColor="accent4" w:sz="4" w:space="0"/>
        <w:bottom w:val="single" w:color="957000" w:themeColor="accent4" w:sz="4" w:space="0"/>
        <w:right w:val="single" w:color="957000" w:themeColor="accent4" w:sz="4" w:space="0"/>
        <w:insideH w:val="single" w:color="957000" w:themeColor="accent4" w:sz="4" w:space="0"/>
        <w:insideV w:val="single" w:color="957000" w:themeColor="accent4" w:sz="4" w:space="0"/>
      </w:tblBorders>
    </w:tblPr>
    <w:tblStylePr w:type="firstRow">
      <w:rPr>
        <w:color w:val="F2F2F2"/>
        <w:sz w:val="22"/>
      </w:rPr>
      <w:tblPr/>
      <w:tcPr>
        <w:shd w:val="clear" w:color="FFD865" w:fill="FFD865" w:themeFill="accent4" w:themeFillTint="9a"/>
      </w:tcPr>
    </w:tblStylePr>
    <w:tblStylePr w:type="lastRow">
      <w:rPr>
        <w:color w:val="F2F2F2"/>
        <w:sz w:val="22"/>
      </w:rPr>
      <w:tblPr/>
      <w:tcPr>
        <w:shd w:val="clear" w:color="FFD865" w:fill="FFD865" w:themeFill="accent4" w:themeFillTint="9a"/>
      </w:tcPr>
    </w:tblStylePr>
    <w:tblStylePr w:type="firstCol">
      <w:rPr>
        <w:color w:val="F2F2F2"/>
        <w:sz w:val="22"/>
      </w:rPr>
      <w:tblPr/>
      <w:tcPr>
        <w:shd w:val="clear" w:color="FFD865" w:fill="FFD865" w:themeFill="accent4" w:themeFillTint="9a"/>
      </w:tcPr>
    </w:tblStylePr>
    <w:tblStylePr w:type="lastCol">
      <w:rPr>
        <w:color w:val="F2F2F2"/>
        <w:sz w:val="22"/>
      </w:rPr>
      <w:tblPr/>
      <w:tcPr>
        <w:shd w:val="clear" w:color="FFD865" w:fill="FFD865" w:themeFill="accent4" w:themeFillTint="9a"/>
      </w:tcPr>
    </w:tblStylePr>
    <w:tblStylePr w:type="band1Vert">
      <w:rPr>
        <w:color w:val="404040"/>
        <w:sz w:val="22"/>
      </w:rPr>
      <w:tblPr/>
    </w:tblStylePr>
    <w:tblStylePr w:type="band2Vert">
      <w:rPr>
        <w:color w:val="404040"/>
        <w:sz w:val="22"/>
      </w:rPr>
      <w:tblPr/>
      <w:tcPr>
        <w:shd w:val="clear" w:color="FFF2CB" w:fill="FFF2CB" w:themeFill="accent4" w:themeFillTint="34"/>
      </w:tcPr>
    </w:tblStylePr>
    <w:tblStylePr w:type="band1Horz">
      <w:rPr>
        <w:color w:val="404040"/>
        <w:sz w:val="22"/>
      </w:rPr>
      <w:tblPr/>
    </w:tblStylePr>
    <w:tblStylePr w:type="band2Horz">
      <w:rPr>
        <w:color w:val="404040"/>
        <w:sz w:val="22"/>
      </w:rPr>
      <w:tblPr/>
      <w:tcPr>
        <w:shd w:val="clear" w:color="FFF2CB"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color="254175" w:themeColor="accent5" w:sz="4" w:space="0"/>
        <w:left w:val="single" w:color="254175" w:themeColor="accent5" w:sz="4" w:space="0"/>
        <w:bottom w:val="single" w:color="254175" w:themeColor="accent5" w:sz="4" w:space="0"/>
        <w:right w:val="single" w:color="254175" w:themeColor="accent5" w:sz="4" w:space="0"/>
        <w:insideH w:val="single" w:color="254175" w:themeColor="accent5" w:sz="4" w:space="0"/>
        <w:insideV w:val="single" w:color="254175" w:themeColor="accent5" w:sz="4" w:space="0"/>
      </w:tblBorders>
    </w:tblPr>
    <w:tblStylePr w:type="firstRow">
      <w:rPr>
        <w:color w:val="F2F2F2"/>
        <w:sz w:val="22"/>
      </w:rPr>
      <w:tblPr/>
      <w:tcPr>
        <w:shd w:val="clear" w:color="4472C4" w:fill="4472C4" w:themeFill="accent5"/>
      </w:tcPr>
    </w:tblStylePr>
    <w:tblStylePr w:type="lastRow">
      <w:rPr>
        <w:color w:val="F2F2F2"/>
        <w:sz w:val="22"/>
      </w:rPr>
      <w:tblPr/>
      <w:tcPr>
        <w:shd w:val="clear" w:color="4472C4" w:fill="4472C4" w:themeFill="accent5"/>
      </w:tcPr>
    </w:tblStylePr>
    <w:tblStylePr w:type="firstCol">
      <w:rPr>
        <w:color w:val="F2F2F2"/>
        <w:sz w:val="22"/>
      </w:rPr>
      <w:tblPr/>
      <w:tcPr>
        <w:shd w:val="clear" w:color="4472C4" w:fill="4472C4" w:themeFill="accent5"/>
      </w:tcPr>
    </w:tblStylePr>
    <w:tblStylePr w:type="lastCol">
      <w:rPr>
        <w:color w:val="F2F2F2"/>
        <w:sz w:val="22"/>
      </w:rPr>
      <w:tblPr/>
      <w:tcPr>
        <w:shd w:val="clear" w:color="4472C4" w:fill="4472C4" w:themeFill="accent5"/>
      </w:tcPr>
    </w:tblStylePr>
    <w:tblStylePr w:type="band1Vert">
      <w:rPr>
        <w:color w:val="404040"/>
        <w:sz w:val="22"/>
      </w:rPr>
      <w:tblPr/>
    </w:tblStylePr>
    <w:tblStylePr w:type="band2Vert">
      <w:rPr>
        <w:color w:val="404040"/>
        <w:sz w:val="22"/>
      </w:rPr>
      <w:tblPr/>
      <w:tcPr>
        <w:shd w:val="clear" w:color="D8E2F3" w:fill="D8E2F3" w:themeFill="accent5" w:themeFillTint="34"/>
      </w:tcPr>
    </w:tblStylePr>
    <w:tblStylePr w:type="band1Horz">
      <w:rPr>
        <w:color w:val="404040"/>
        <w:sz w:val="22"/>
      </w:rPr>
      <w:tblPr/>
    </w:tblStylePr>
    <w:tblStylePr w:type="band2Horz">
      <w:rPr>
        <w:color w:val="404040"/>
        <w:sz w:val="22"/>
      </w:rPr>
      <w:tblPr/>
      <w:tcPr>
        <w:shd w:val="clear" w:color="D8E2F3"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color="416429" w:themeColor="accent6" w:sz="4" w:space="0"/>
        <w:left w:val="single" w:color="416429" w:themeColor="accent6" w:sz="4" w:space="0"/>
        <w:bottom w:val="single" w:color="416429" w:themeColor="accent6" w:sz="4" w:space="0"/>
        <w:right w:val="single" w:color="416429" w:themeColor="accent6" w:sz="4" w:space="0"/>
        <w:insideH w:val="single" w:color="416429" w:themeColor="accent6" w:sz="4" w:space="0"/>
        <w:insideV w:val="single" w:color="416429" w:themeColor="accent6" w:sz="4" w:space="0"/>
      </w:tblBorders>
    </w:tblPr>
    <w:tblStylePr w:type="firstRow">
      <w:rPr>
        <w:color w:val="F2F2F2"/>
        <w:sz w:val="22"/>
      </w:rPr>
      <w:tblPr/>
      <w:tcPr>
        <w:shd w:val="clear" w:color="70AD47" w:fill="70AD47" w:themeFill="accent6"/>
      </w:tcPr>
    </w:tblStylePr>
    <w:tblStylePr w:type="lastRow">
      <w:rPr>
        <w:color w:val="F2F2F2"/>
        <w:sz w:val="22"/>
      </w:rPr>
      <w:tblPr/>
      <w:tcPr>
        <w:shd w:val="clear" w:color="70AD47" w:fill="70AD47" w:themeFill="accent6"/>
      </w:tcPr>
    </w:tblStylePr>
    <w:tblStylePr w:type="firstCol">
      <w:rPr>
        <w:color w:val="F2F2F2"/>
        <w:sz w:val="22"/>
      </w:rPr>
      <w:tblPr/>
      <w:tcPr>
        <w:shd w:val="clear" w:color="70AD47" w:fill="70AD47" w:themeFill="accent6"/>
      </w:tcPr>
    </w:tblStylePr>
    <w:tblStylePr w:type="lastCol">
      <w:rPr>
        <w:color w:val="F2F2F2"/>
        <w:sz w:val="22"/>
      </w:rPr>
      <w:tblPr/>
      <w:tcPr>
        <w:shd w:val="clear" w:color="70AD47" w:fill="70AD47" w:themeFill="accent6"/>
      </w:tcPr>
    </w:tblStylePr>
    <w:tblStylePr w:type="band1Vert">
      <w:rPr>
        <w:color w:val="404040"/>
        <w:sz w:val="22"/>
      </w:rPr>
      <w:tblPr/>
    </w:tblStylePr>
    <w:tblStylePr w:type="band2Vert">
      <w:rPr>
        <w:color w:val="404040"/>
        <w:sz w:val="22"/>
      </w:rPr>
      <w:tblPr/>
      <w:tcPr>
        <w:shd w:val="clear" w:color="E1EFD8" w:fill="E1EFD8" w:themeFill="accent6" w:themeFillTint="34"/>
      </w:tcPr>
    </w:tblStylePr>
    <w:tblStylePr w:type="band1Horz">
      <w:rPr>
        <w:color w:val="404040"/>
        <w:sz w:val="22"/>
      </w:rPr>
      <w:tblPr/>
    </w:tblStylePr>
    <w:tblStylePr w:type="band2Horz">
      <w:rPr>
        <w:color w:val="404040"/>
        <w:sz w:val="22"/>
      </w:rPr>
      <w:tblPr/>
      <w:tcPr>
        <w:shd w:val="clear" w:color="E1EFD8" w:fill="E1EF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color w:val="404040"/>
        <w:sz w:val="22"/>
      </w:rPr>
      <w:tblPr/>
      <w:tcPr>
        <w:tcBorders>
          <w:bottom w:val="single" w:color="7F7F7F" w:themeColor="text1" w:sz="12" w:space="0"/>
        </w:tcBorders>
      </w:tcPr>
    </w:tblStylePr>
    <w:tblStylePr w:type="lastRow">
      <w:rPr>
        <w:color w:val="404040"/>
        <w:sz w:val="22"/>
      </w:rPr>
      <w:tblPr/>
      <w:tcPr>
        <w:tcBorders>
          <w:top w:val="single" w:color="7F7F7F" w:themeColor="text1" w:sz="12" w:space="0"/>
        </w:tcBorders>
      </w:tcPr>
    </w:tblStylePr>
    <w:tblStylePr w:type="firstCol">
      <w:rPr>
        <w:color w:val="404040"/>
        <w:sz w:val="22"/>
      </w:rPr>
      <w:tblPr/>
    </w:tblStylePr>
    <w:tblStylePr w:type="lastCol">
      <w:rPr>
        <w:color w:val="404040"/>
        <w:sz w:val="22"/>
      </w:rPr>
      <w:tblPr/>
      <w:tcPr>
        <w:tcBorders>
          <w:left w:val="single" w:color="7F7F7F" w:themeColor="text1" w:sz="12" w:space="0"/>
        </w:tcBorders>
      </w:tcPr>
    </w:tblStylePr>
    <w:tblStylePr w:type="band1Horz">
      <w:rPr>
        <w:color w:val="404040"/>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color w:val="404040"/>
        <w:sz w:val="22"/>
      </w:rPr>
      <w:tblPr/>
      <w:tcPr>
        <w:tcBorders>
          <w:bottom w:val="single" w:color="5B9BD5" w:themeColor="accent1" w:sz="12" w:space="0"/>
        </w:tcBorders>
      </w:tcPr>
    </w:tblStylePr>
    <w:tblStylePr w:type="lastRow">
      <w:rPr>
        <w:color w:val="404040"/>
        <w:sz w:val="22"/>
      </w:rPr>
      <w:tblPr/>
      <w:tcPr>
        <w:tcBorders>
          <w:top w:val="single" w:color="5B9BD5" w:themeColor="accent1" w:sz="12" w:space="0"/>
        </w:tcBorders>
      </w:tcPr>
    </w:tblStylePr>
    <w:tblStylePr w:type="firstCol">
      <w:rPr>
        <w:color w:val="404040"/>
        <w:sz w:val="22"/>
      </w:rPr>
      <w:tblPr/>
    </w:tblStylePr>
    <w:tblStylePr w:type="lastCol">
      <w:rPr>
        <w:color w:val="404040"/>
        <w:sz w:val="22"/>
      </w:rPr>
      <w:tblPr/>
      <w:tcPr>
        <w:tcBorders>
          <w:left w:val="single" w:color="5B9BD5" w:themeColor="accent1" w:sz="12" w:space="0"/>
        </w:tcBorders>
      </w:tcPr>
    </w:tblStylePr>
    <w:tblStylePr w:type="band1Horz">
      <w:rPr>
        <w:color w:val="404040"/>
        <w:sz w:val="22"/>
      </w:rPr>
      <w:tblPr/>
      <w:tcPr>
        <w:tcBorders>
          <w:top w:val="single" w:color="BCD6EE" w:themeColor="accent1" w:sz="4" w:space="0"/>
          <w:left w:val="single" w:color="BCD6EE" w:themeColor="accent1" w:sz="4" w:space="0"/>
          <w:bottom w:val="single" w:color="BCD6EE" w:themeColor="accent1" w:sz="4" w:space="0"/>
          <w:right w:val="single" w:color="BCD6EE"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color w:val="404040"/>
        <w:sz w:val="22"/>
      </w:rPr>
      <w:tblPr/>
      <w:tcPr>
        <w:tcBorders>
          <w:bottom w:val="single" w:color="F4B184" w:themeColor="accent2" w:sz="12" w:space="0"/>
        </w:tcBorders>
      </w:tcPr>
    </w:tblStylePr>
    <w:tblStylePr w:type="lastRow">
      <w:rPr>
        <w:color w:val="404040"/>
        <w:sz w:val="22"/>
      </w:rPr>
      <w:tblPr/>
      <w:tcPr>
        <w:tcBorders>
          <w:top w:val="single" w:color="F4B184" w:themeColor="accent2" w:sz="12" w:space="0"/>
        </w:tcBorders>
      </w:tcPr>
    </w:tblStylePr>
    <w:tblStylePr w:type="firstCol">
      <w:rPr>
        <w:color w:val="404040"/>
        <w:sz w:val="22"/>
      </w:rPr>
      <w:tblPr/>
    </w:tblStylePr>
    <w:tblStylePr w:type="lastCol">
      <w:rPr>
        <w:color w:val="404040"/>
        <w:sz w:val="22"/>
      </w:rPr>
      <w:tblPr/>
      <w:tcPr>
        <w:tcBorders>
          <w:left w:val="single" w:color="F4B184" w:themeColor="accent2" w:sz="12" w:space="0"/>
        </w:tcBorders>
      </w:tcPr>
    </w:tblStylePr>
    <w:tblStylePr w:type="band1Horz">
      <w:rPr>
        <w:color w:val="404040"/>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color w:val="404040"/>
        <w:sz w:val="22"/>
      </w:rPr>
      <w:tblPr/>
      <w:tcPr>
        <w:tcBorders>
          <w:bottom w:val="single" w:color="C9C9C9" w:themeColor="accent3" w:sz="12" w:space="0"/>
        </w:tcBorders>
      </w:tcPr>
    </w:tblStylePr>
    <w:tblStylePr w:type="lastRow">
      <w:rPr>
        <w:color w:val="404040"/>
        <w:sz w:val="22"/>
      </w:rPr>
      <w:tblPr/>
      <w:tcPr>
        <w:tcBorders>
          <w:top w:val="single" w:color="C9C9C9" w:themeColor="accent3" w:sz="12" w:space="0"/>
        </w:tcBorders>
      </w:tcPr>
    </w:tblStylePr>
    <w:tblStylePr w:type="firstCol">
      <w:rPr>
        <w:color w:val="404040"/>
        <w:sz w:val="22"/>
      </w:rPr>
      <w:tblPr/>
    </w:tblStylePr>
    <w:tblStylePr w:type="lastCol">
      <w:rPr>
        <w:color w:val="404040"/>
        <w:sz w:val="22"/>
      </w:rPr>
      <w:tblPr/>
      <w:tcPr>
        <w:tcBorders>
          <w:left w:val="single" w:color="C9C9C9" w:themeColor="accent3" w:sz="12" w:space="0"/>
        </w:tcBorders>
      </w:tcPr>
    </w:tblStylePr>
    <w:tblStylePr w:type="band1Horz">
      <w:rPr>
        <w:color w:val="404040"/>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color w:val="404040"/>
        <w:sz w:val="22"/>
      </w:rPr>
      <w:tblPr/>
      <w:tcPr>
        <w:tcBorders>
          <w:bottom w:val="single" w:color="FFD865" w:themeColor="accent4" w:sz="12" w:space="0"/>
        </w:tcBorders>
      </w:tcPr>
    </w:tblStylePr>
    <w:tblStylePr w:type="lastRow">
      <w:rPr>
        <w:color w:val="404040"/>
        <w:sz w:val="22"/>
      </w:rPr>
      <w:tblPr/>
      <w:tcPr>
        <w:tcBorders>
          <w:top w:val="single" w:color="FFD865" w:themeColor="accent4" w:sz="12" w:space="0"/>
        </w:tcBorders>
      </w:tcPr>
    </w:tblStylePr>
    <w:tblStylePr w:type="firstCol">
      <w:rPr>
        <w:color w:val="404040"/>
        <w:sz w:val="22"/>
      </w:rPr>
      <w:tblPr/>
    </w:tblStylePr>
    <w:tblStylePr w:type="lastCol">
      <w:rPr>
        <w:color w:val="404040"/>
        <w:sz w:val="22"/>
      </w:rPr>
      <w:tblPr/>
      <w:tcPr>
        <w:tcBorders>
          <w:left w:val="single" w:color="FFD865" w:themeColor="accent4" w:sz="12" w:space="0"/>
        </w:tcBorders>
      </w:tcPr>
    </w:tblStylePr>
    <w:tblStylePr w:type="band1Horz">
      <w:rPr>
        <w:color w:val="404040"/>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firstRow">
      <w:rPr>
        <w:color w:val="404040"/>
        <w:sz w:val="22"/>
      </w:rPr>
      <w:tblPr/>
      <w:tcPr>
        <w:tcBorders>
          <w:bottom w:val="single" w:color="8DA9DB" w:themeColor="accent5" w:sz="12" w:space="0"/>
        </w:tcBorders>
      </w:tcPr>
    </w:tblStylePr>
    <w:tblStylePr w:type="lastRow">
      <w:rPr>
        <w:color w:val="404040"/>
        <w:sz w:val="22"/>
      </w:rPr>
      <w:tblPr/>
      <w:tcPr>
        <w:tcBorders>
          <w:top w:val="single" w:color="8DA9DB" w:themeColor="accent5" w:sz="12" w:space="0"/>
        </w:tcBorders>
      </w:tcPr>
    </w:tblStylePr>
    <w:tblStylePr w:type="firstCol">
      <w:rPr>
        <w:color w:val="404040"/>
        <w:sz w:val="22"/>
      </w:rPr>
      <w:tblPr/>
    </w:tblStylePr>
    <w:tblStylePr w:type="lastCol">
      <w:rPr>
        <w:color w:val="404040"/>
        <w:sz w:val="22"/>
      </w:rPr>
      <w:tblPr/>
      <w:tcPr>
        <w:tcBorders>
          <w:left w:val="single" w:color="8DA9DB" w:themeColor="accent5" w:sz="12" w:space="0"/>
        </w:tcBorders>
      </w:tcPr>
    </w:tblStylePr>
    <w:tblStylePr w:type="band1Horz">
      <w:rPr>
        <w:color w:val="404040"/>
        <w:sz w:val="22"/>
      </w:rPr>
      <w:tblPr/>
      <w:tcPr>
        <w:tcBorders>
          <w:top w:val="single" w:color="B3C5E7" w:themeColor="accent5" w:sz="4" w:space="0"/>
          <w:left w:val="single" w:color="B3C5E7" w:themeColor="accent5" w:sz="4" w:space="0"/>
          <w:bottom w:val="single" w:color="B3C5E7" w:themeColor="accent5" w:sz="4" w:space="0"/>
          <w:right w:val="single" w:color="B3C5E7"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color w:val="404040"/>
        <w:sz w:val="22"/>
      </w:rPr>
      <w:tblPr/>
      <w:tcPr>
        <w:tcBorders>
          <w:bottom w:val="single" w:color="A9D08E" w:themeColor="accent6" w:sz="12" w:space="0"/>
        </w:tcBorders>
      </w:tcPr>
    </w:tblStylePr>
    <w:tblStylePr w:type="lastRow">
      <w:rPr>
        <w:color w:val="404040"/>
        <w:sz w:val="22"/>
      </w:rPr>
      <w:tblPr/>
      <w:tcPr>
        <w:tcBorders>
          <w:top w:val="single" w:color="A9D08E" w:themeColor="accent6" w:sz="12" w:space="0"/>
        </w:tcBorders>
      </w:tcPr>
    </w:tblStylePr>
    <w:tblStylePr w:type="firstCol">
      <w:rPr>
        <w:color w:val="404040"/>
        <w:sz w:val="22"/>
      </w:rPr>
      <w:tblPr/>
    </w:tblStylePr>
    <w:tblStylePr w:type="lastCol">
      <w:rPr>
        <w:color w:val="404040"/>
        <w:sz w:val="22"/>
      </w:rPr>
      <w:tblPr/>
      <w:tcPr>
        <w:tcBorders>
          <w:left w:val="single" w:color="A9D08E" w:themeColor="accent6" w:sz="12" w:space="0"/>
        </w:tcBorders>
      </w:tcPr>
    </w:tblStylePr>
    <w:tblStylePr w:type="band1Horz">
      <w:rPr>
        <w:color w:val="404040"/>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 w:type="table" w:styleId="af4">
    <w:name w:val="Table Grid"/>
    <w:basedOn w:val="a1"/>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57E0B1C8ADAC653FBEA55D1E9049ED91A63B5BC1BDB036D12C5B445229pEa3J" TargetMode="External"/><Relationship Id="rId3" Type="http://schemas.openxmlformats.org/officeDocument/2006/relationships/hyperlink" Target="https://mintrud.gov.ru/ministry/programms/anticorruption/9/instruktivno-metodicheskie-materialy-po-fz" TargetMode="External"/><Relationship Id="rId4" Type="http://schemas.openxmlformats.org/officeDocument/2006/relationships/hyperlink" Target="consultantplus://offline/ref=C9E7374AA1332C6CF9FF0059DC9BC42D7E0C4094E90E8D4E87A0DE0B00JBsBL" TargetMode="External"/><Relationship Id="rId5" Type="http://schemas.openxmlformats.org/officeDocument/2006/relationships/hyperlink" Target="consultantplus://offline/ref=176F7DE9F43BBC5D4BD135AAE1CAD04D0FAF9650A130B33DA87DA13E97FAF95DCF18F97FDC1FE2FAH7g2M" TargetMode="External"/><Relationship Id="rId6" Type="http://schemas.openxmlformats.org/officeDocument/2006/relationships/hyperlink" Target="consultantplus://offline/ref=7F2EEDDD06F168B694690D2DE649735BC9E53CBFC16FEC31087E4E96CAJ2nFL" TargetMode="External"/><Relationship Id="rId7" Type="http://schemas.openxmlformats.org/officeDocument/2006/relationships/hyperlink" Target="consultantplus://offline/ref=3743F552A0D416E80BEAF690826125BB530BB097B6A5A5C17137C1E72FF3E91DCF3284BA9D2A6279g3rBM" TargetMode="External"/><Relationship Id="rId8" Type="http://schemas.openxmlformats.org/officeDocument/2006/relationships/hyperlink" Target="consultantplus://offline/ref=7F2EEDDD06F168B694690D2DE649735BC9E53CBFC16FEC31087E4E96CAJ2nFL" TargetMode="External"/><Relationship Id="rId9" Type="http://schemas.openxmlformats.org/officeDocument/2006/relationships/hyperlink" Target="consultantplus://offline/ref=33E7B6DD529722622844D6F9EBC8DBA03B3FAEDA9118A1613233FFF35FCD6ECFCAED66496D73EC2Di9vDO" TargetMode="External"/><Relationship Id="rId10" Type="http://schemas.openxmlformats.org/officeDocument/2006/relationships/hyperlink" Target="https://mintrud.gov.ru/ministry/programms/anticorruption/9/23" TargetMode="External"/><Relationship Id="rId11" Type="http://schemas.openxmlformats.org/officeDocument/2006/relationships/hyperlink" Target="https://mintrud.gov.ru/ministry/programms/anticorruption/9/23" TargetMode="External"/><Relationship Id="rId12" Type="http://schemas.openxmlformats.org/officeDocument/2006/relationships/hyperlink" Target="https://mintrud.gov.ru/ministry/programms/anticorruption/9/23" TargetMode="External"/><Relationship Id="rId13" Type="http://schemas.openxmlformats.org/officeDocument/2006/relationships/hyperlink" Target="https://mintrud.gov.ru/ministry/programms/anticorruption/9/24" TargetMode="External"/><Relationship Id="rId14" Type="http://schemas.openxmlformats.org/officeDocument/2006/relationships/hyperlink" Target="https://lkfl2.nalog.ru/lkfl" TargetMode="External"/><Relationship Id="rId15" Type="http://schemas.openxmlformats.org/officeDocument/2006/relationships/hyperlink" Target="https://lkfl2.nalog.ru/lkfl" TargetMode="External"/><Relationship Id="rId16" Type="http://schemas.openxmlformats.org/officeDocument/2006/relationships/hyperlink" Target="https://sfr.gov.ru/" TargetMode="External"/><Relationship Id="rId17" Type="http://schemas.openxmlformats.org/officeDocument/2006/relationships/hyperlink" Target="https://lkfl2.nalog.ru/lkfl" TargetMode="External"/><Relationship Id="rId18" Type="http://schemas.openxmlformats.org/officeDocument/2006/relationships/hyperlink" Target="https://lkfl2.nalog.ru/lkfl" TargetMode="External"/><Relationship Id="rId19" Type="http://schemas.openxmlformats.org/officeDocument/2006/relationships/hyperlink" Target="https://lkfl2.nalog.ru/lkfl" TargetMode="External"/><Relationship Id="rId20" Type="http://schemas.openxmlformats.org/officeDocument/2006/relationships/hyperlink" Target="https://www.gosuslugi.ru/" TargetMode="External"/><Relationship Id="rId21" Type="http://schemas.openxmlformats.org/officeDocument/2006/relationships/hyperlink" Target="http://www.kremlin.ru/structure/additional/12" TargetMode="External"/><Relationship Id="rId22" Type="http://schemas.openxmlformats.org/officeDocument/2006/relationships/hyperlink" Target="https://gossluzhba.gov.ru/anticorruption/spravki_bk" TargetMode="External"/><Relationship Id="rId23" Type="http://schemas.openxmlformats.org/officeDocument/2006/relationships/hyperlink" Target="https://www.cbr.ru/currency_base/daily/" TargetMode="External"/><Relationship Id="rId24" Type="http://schemas.openxmlformats.org/officeDocument/2006/relationships/hyperlink" Target="https://mintrud.gov.ru/docs/1872" TargetMode="External"/><Relationship Id="rId25" Type="http://schemas.openxmlformats.org/officeDocument/2006/relationships/hyperlink" Target="https://lk.rosreestr.ru/eservices/real-estate-objects-online" TargetMode="External"/><Relationship Id="rId26" Type="http://schemas.openxmlformats.org/officeDocument/2006/relationships/hyperlink" Target="https://www.gibdd.ru/r/77/contacts/div1145039/" TargetMode="External"/><Relationship Id="rId27" Type="http://schemas.openxmlformats.org/officeDocument/2006/relationships/hyperlink" Target="https://www.gibdd.ru/r/66/contacts/div1165058/" TargetMode="External"/><Relationship Id="rId28" Type="http://schemas.openxmlformats.org/officeDocument/2006/relationships/hyperlink" Target="https://www.gibdd.ru/r/66/contacts/div1165043/" TargetMode="External"/><Relationship Id="rId29" Type="http://schemas.openxmlformats.org/officeDocument/2006/relationships/hyperlink" Target="https://www.cbr.ru/hd_base/metall/metall_base_new/" TargetMode="External"/><Relationship Id="rId30" Type="http://schemas.openxmlformats.org/officeDocument/2006/relationships/hyperlink" Target="https://www.nalog.ru/rn77/related_activities/accounting/bank_account/" TargetMode="External"/><Relationship Id="rId31" Type="http://schemas.openxmlformats.org/officeDocument/2006/relationships/hyperlink" Target="https://mintrud.gov.ru/ministry/programms/anticorruption/9/21" TargetMode="External"/><Relationship Id="rId32" Type="http://schemas.openxmlformats.org/officeDocument/2006/relationships/header" Target="header1.xml"/><Relationship Id="rId33" Type="http://schemas.openxmlformats.org/officeDocument/2006/relationships/numbering" Target="numbering.xml"/><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Relationship Id="rId3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6069-CD66-40E6-8888-F079EA4B1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Application>LibreOffice/7.5.6.2$Linux_X86_64 LibreOffice_project/50$Build-2</Application>
  <AppVersion>15.0000</AppVersion>
  <Pages>71</Pages>
  <Words>24451</Words>
  <Characters>172161</Characters>
  <CharactersWithSpaces>195739</CharactersWithSpaces>
  <Paragraphs>777</Paragraphs>
  <Company>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2024-12-26T15:33:00Z</dcterms:created>
  <dc:creator>KovalkovaEA</dc:creator>
  <dc:description/>
  <dc:language>ru-RU</dc:language>
  <cp:lastModifiedBy/>
  <dcterms:modified xsi:type="dcterms:W3CDTF">2024-12-28T10:56:21Z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