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6B0F3D"/>
    <w:p w14:paraId="525B0CBE">
      <w:pPr>
        <w:jc w:val="right"/>
        <w:rPr>
          <w:b/>
        </w:rPr>
      </w:pPr>
    </w:p>
    <w:p w14:paraId="433B5892">
      <w:pPr>
        <w:jc w:val="center"/>
      </w:pPr>
      <w:r>
        <w:rPr>
          <w:lang w:val="ru-RU"/>
        </w:rPr>
        <w:t>ИТОГОВЫЙ</w:t>
      </w:r>
      <w:r>
        <w:rPr>
          <w:rFonts w:hint="default"/>
          <w:lang w:val="ru-RU"/>
        </w:rPr>
        <w:t xml:space="preserve"> </w:t>
      </w:r>
      <w:r>
        <w:t>ПРОТОКОЛ</w:t>
      </w:r>
    </w:p>
    <w:p w14:paraId="16DBF2B6">
      <w:pPr>
        <w:ind w:right="57"/>
        <w:jc w:val="center"/>
      </w:pPr>
      <w:r>
        <w:t xml:space="preserve">Признания аукциона открытого по составу участников и открытого по способу подачи предложений по цене с применением метода повышения начальной цены несостоявшимся </w:t>
      </w:r>
    </w:p>
    <w:p w14:paraId="295072E9"/>
    <w:p w14:paraId="27E53A10">
      <w:pPr>
        <w:jc w:val="both"/>
        <w:rPr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</w:t>
      </w:r>
      <w:r>
        <w:rPr>
          <w:color w:val="4F81BD"/>
          <w:lang w:val="en-US"/>
        </w:rPr>
        <w:t>«</w:t>
      </w:r>
      <w:r>
        <w:rPr>
          <w:rFonts w:hint="default"/>
          <w:color w:val="4F81BD"/>
          <w:lang w:val="ru-RU"/>
        </w:rPr>
        <w:t>27</w:t>
      </w:r>
      <w:r>
        <w:rPr>
          <w:color w:val="4F81BD"/>
          <w:lang w:val="en-US"/>
        </w:rPr>
        <w:t>» сентября 2024 года</w:t>
      </w:r>
    </w:p>
    <w:p w14:paraId="20F7D55B">
      <w:pPr>
        <w:jc w:val="both"/>
        <w:rPr>
          <w:lang w:val="en-US"/>
        </w:rPr>
      </w:pPr>
    </w:p>
    <w:p w14:paraId="3096EF32">
      <w:pPr>
        <w:rPr>
          <w:lang w:val="en-US"/>
        </w:rPr>
      </w:pPr>
    </w:p>
    <w:p w14:paraId="1B050988">
      <w:pPr>
        <w:widowControl w:val="0"/>
        <w:tabs>
          <w:tab w:val="left" w:pos="10476"/>
        </w:tabs>
        <w:ind w:right="-14"/>
        <w:jc w:val="both"/>
        <w:rPr>
          <w:lang w:val="en-US"/>
        </w:rPr>
      </w:pPr>
      <w:r>
        <w:t>Продавец</w:t>
      </w:r>
      <w:r>
        <w:rPr>
          <w:lang w:val="en-US"/>
        </w:rPr>
        <w:t>:</w:t>
      </w:r>
      <w:r>
        <w:rPr>
          <w:b/>
          <w:lang w:val="en-US"/>
        </w:rPr>
        <w:t xml:space="preserve"> </w:t>
      </w:r>
      <w:r>
        <w:rPr>
          <w:lang w:val="en-US"/>
        </w:rPr>
        <w:t xml:space="preserve"> </w:t>
      </w:r>
      <w:r>
        <w:rPr>
          <w:color w:val="4F81BD"/>
          <w:lang w:val="en-US"/>
        </w:rPr>
        <w:t>АДМИНИСТРАЦИЯ АНУЧИНСКОГО МУНИЦИПАЛЬНОГО ОКРУГА ПРИМОРСКОГО КРАЯ</w:t>
      </w:r>
    </w:p>
    <w:p w14:paraId="3178DA39">
      <w:pPr>
        <w:widowControl w:val="0"/>
        <w:tabs>
          <w:tab w:val="left" w:pos="10476"/>
        </w:tabs>
        <w:ind w:right="-14"/>
        <w:jc w:val="both"/>
      </w:pPr>
      <w:r>
        <w:t xml:space="preserve">Оператор: Акционерное общество «Российский аукционный дом» (АО «РАД») </w:t>
      </w:r>
    </w:p>
    <w:p w14:paraId="64F30580">
      <w:pPr>
        <w:widowControl w:val="0"/>
        <w:tabs>
          <w:tab w:val="left" w:pos="10476"/>
        </w:tabs>
        <w:ind w:right="-14"/>
        <w:jc w:val="both"/>
      </w:pPr>
    </w:p>
    <w:p w14:paraId="3999C6F2">
      <w:pPr>
        <w:widowControl w:val="0"/>
        <w:tabs>
          <w:tab w:val="left" w:pos="10476"/>
        </w:tabs>
        <w:ind w:right="-14"/>
        <w:jc w:val="both"/>
      </w:pPr>
      <w:r>
        <w:t>Место проведения аукциона:</w:t>
      </w:r>
      <w:r>
        <w:rPr>
          <w:b/>
        </w:rPr>
        <w:t xml:space="preserve"> </w:t>
      </w:r>
      <w:r>
        <w:t xml:space="preserve">Электронная площадка АО «Российский аукционный дом». </w:t>
      </w:r>
      <w:r>
        <w:rPr>
          <w:lang w:val="en-US"/>
        </w:rPr>
        <w:t>Lot</w:t>
      </w:r>
      <w:r>
        <w:t>-</w:t>
      </w:r>
      <w:r>
        <w:rPr>
          <w:lang w:val="en-US"/>
        </w:rPr>
        <w:t>online</w:t>
      </w:r>
      <w:r>
        <w:t>.</w:t>
      </w:r>
      <w:r>
        <w:rPr>
          <w:lang w:val="en-US"/>
        </w:rPr>
        <w:t>ru</w:t>
      </w:r>
    </w:p>
    <w:p w14:paraId="26B9FC24">
      <w:pPr>
        <w:widowControl w:val="0"/>
        <w:tabs>
          <w:tab w:val="left" w:pos="10476"/>
        </w:tabs>
        <w:ind w:right="-14"/>
        <w:jc w:val="both"/>
      </w:pPr>
      <w:r>
        <w:t>Дата и время начала проведения аукциона:</w:t>
      </w:r>
      <w:r>
        <w:rPr>
          <w:b w:val="0"/>
          <w:bCs/>
        </w:rPr>
        <w:t xml:space="preserve"> </w:t>
      </w:r>
      <w:r>
        <w:rPr>
          <w:rFonts w:hint="default"/>
          <w:b w:val="0"/>
          <w:bCs/>
          <w:color w:val="000000" w:themeColor="text1"/>
          <w:lang w:val="ru-RU"/>
        </w:rPr>
        <w:t>25</w:t>
      </w:r>
      <w:r>
        <w:rPr>
          <w:color w:val="000000" w:themeColor="text1"/>
        </w:rPr>
        <w:t xml:space="preserve"> сентября 2024 года, </w:t>
      </w:r>
      <w:r>
        <w:rPr>
          <w:rFonts w:hint="default"/>
          <w:color w:val="000000" w:themeColor="text1"/>
          <w:lang w:val="ru-RU"/>
        </w:rPr>
        <w:t>04</w:t>
      </w:r>
      <w:r>
        <w:rPr>
          <w:color w:val="000000" w:themeColor="text1"/>
        </w:rPr>
        <w:t xml:space="preserve"> часов 00 минут</w:t>
      </w:r>
      <w:r>
        <w:t xml:space="preserve"> по московскому времени.</w:t>
      </w:r>
    </w:p>
    <w:p w14:paraId="5566518E">
      <w:pPr>
        <w:widowControl w:val="0"/>
        <w:tabs>
          <w:tab w:val="left" w:pos="10476"/>
        </w:tabs>
        <w:ind w:right="-14"/>
        <w:rPr>
          <w:b/>
        </w:rPr>
      </w:pPr>
    </w:p>
    <w:p w14:paraId="3547F4B5">
      <w:pPr>
        <w:rPr>
          <w:b/>
        </w:rPr>
      </w:pPr>
      <w:r>
        <w:t>В присутствии комиссии продавца в составе:</w:t>
      </w:r>
    </w:p>
    <w:p w14:paraId="3A92F0CF">
      <w:pPr>
        <w:jc w:val="both"/>
        <w:rPr>
          <w:lang w:eastAsia="ar-SA"/>
        </w:rPr>
      </w:pPr>
      <w:r>
        <w:t>&lt;</w:t>
      </w:r>
    </w:p>
    <w:tbl>
      <w:tblPr>
        <w:tblStyle w:val="3"/>
        <w:tblW w:w="934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3348"/>
      </w:tblGrid>
      <w:tr w14:paraId="1CB8FE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9" w:type="dxa"/>
            <w:shd w:val="clear" w:color="auto" w:fill="FFFFFF"/>
            <w:vAlign w:val="center"/>
          </w:tcPr>
          <w:p w14:paraId="7FF14290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3072" w:type="dxa"/>
            <w:shd w:val="clear" w:color="auto" w:fill="FFFFFF"/>
            <w:vAlign w:val="center"/>
          </w:tcPr>
          <w:p w14:paraId="01A0DF40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3350" w:type="dxa"/>
            <w:shd w:val="clear" w:color="auto" w:fill="FFFFFF"/>
            <w:vAlign w:val="center"/>
          </w:tcPr>
          <w:p w14:paraId="7853CD16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</w:tc>
      </w:tr>
    </w:tbl>
    <w:p w14:paraId="124E1FF2">
      <w:pPr>
        <w:ind w:left="142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Члены комиссии:</w:t>
      </w:r>
    </w:p>
    <w:tbl>
      <w:tblPr>
        <w:tblStyle w:val="3"/>
        <w:tblpPr w:leftFromText="180" w:rightFromText="180" w:bottomFromText="200" w:vertAnchor="text" w:tblpY="1"/>
        <w:tblOverlap w:val="never"/>
        <w:tblW w:w="956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2"/>
        <w:gridCol w:w="3168"/>
        <w:gridCol w:w="3152"/>
      </w:tblGrid>
      <w:tr w14:paraId="3313E9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3242" w:type="dxa"/>
            <w:shd w:val="clear" w:color="auto" w:fill="FFFFFF"/>
            <w:vAlign w:val="center"/>
          </w:tcPr>
          <w:p w14:paraId="0A8ABF6B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Росейчук Елена Витальевна - начальник отдела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</w:tc>
        <w:tc>
          <w:tcPr>
            <w:tcW w:w="3168" w:type="dxa"/>
            <w:shd w:val="clear" w:color="auto" w:fill="FFFFFF"/>
            <w:vAlign w:val="center"/>
          </w:tcPr>
          <w:p w14:paraId="13AD0240">
            <w:pPr>
              <w:shd w:val="clear" w:color="auto" w:fill="FFFFFF"/>
              <w:spacing w:before="0" w:after="0" w:line="240" w:lineRule="auto"/>
              <w:ind w:firstLine="709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>Борисенко Ольга Ивановна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– главный специалист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  <w:lang w:val="ru-RU"/>
              </w:rPr>
              <w:t>1 разряда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отдела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  <w:p w14:paraId="32BB6709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2" w:type="dxa"/>
            <w:shd w:val="clear" w:color="auto" w:fill="FFFFFF"/>
            <w:vAlign w:val="center"/>
          </w:tcPr>
          <w:p w14:paraId="05979C4B">
            <w:pPr>
              <w:shd w:val="clear" w:color="auto" w:fill="FFFFFF"/>
              <w:spacing w:before="0" w:after="0" w:line="240" w:lineRule="auto"/>
              <w:ind w:right="6" w:firstLine="709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Ким Наталья Васильевна –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highlight w:val="white"/>
                <w:lang w:val="ru-RU" w:eastAsia="ru-RU" w:bidi="ar-SA"/>
              </w:rPr>
              <w:t xml:space="preserve">главный специалист 1-го разряда отдела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архитектуры и 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  <w:p w14:paraId="2D3A6636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3"/>
        <w:tblW w:w="974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3750"/>
      </w:tblGrid>
      <w:tr w14:paraId="517805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5FB68FC3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1F43A703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Бреннер</w:t>
            </w: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Арина Вячеславовна</w:t>
            </w:r>
          </w:p>
        </w:tc>
        <w:tc>
          <w:tcPr>
            <w:tcW w:w="3750" w:type="dxa"/>
            <w:shd w:val="clear" w:color="auto" w:fill="FFFFFF"/>
            <w:vAlign w:val="center"/>
          </w:tcPr>
          <w:p w14:paraId="4797B5F2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главный специалист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  <w:lang w:val="ru-RU"/>
              </w:rPr>
              <w:t>1 разряда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отдела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</w:tr>
    </w:tbl>
    <w:p w14:paraId="6F0CA89E">
      <w:pPr>
        <w:jc w:val="both"/>
        <w:rPr>
          <w:lang w:eastAsia="ar-SA"/>
        </w:rPr>
      </w:pPr>
    </w:p>
    <w:p w14:paraId="6414F454">
      <w:pPr>
        <w:jc w:val="both"/>
      </w:pPr>
    </w:p>
    <w:p w14:paraId="3B14775B">
      <w:pPr>
        <w:autoSpaceDE w:val="0"/>
        <w:autoSpaceDN w:val="0"/>
        <w:adjustRightInd w:val="0"/>
        <w:jc w:val="both"/>
      </w:pPr>
      <w:r>
        <w:t>Предмет аукциона:</w:t>
      </w:r>
    </w:p>
    <w:p w14:paraId="2F39E151">
      <w:pPr>
        <w:ind w:right="57"/>
        <w:jc w:val="both"/>
      </w:pPr>
      <w:r>
        <w:rPr>
          <w:color w:val="000000" w:themeColor="text1"/>
        </w:rPr>
        <w:t>земельный участок</w:t>
      </w:r>
      <w:r>
        <w:rPr>
          <w:rFonts w:hint="default"/>
          <w:color w:val="000000" w:themeColor="text1"/>
          <w:lang w:val="ru-RU"/>
        </w:rPr>
        <w:t xml:space="preserve"> 25</w:t>
      </w:r>
      <w:r>
        <w:rPr>
          <w:rFonts w:hint="default"/>
          <w:color w:val="000000" w:themeColor="text1"/>
          <w:lang w:val="en-US"/>
        </w:rPr>
        <w:t>:01:</w:t>
      </w:r>
      <w:r>
        <w:rPr>
          <w:rFonts w:hint="default"/>
          <w:color w:val="000000" w:themeColor="text1"/>
          <w:lang w:val="ru-RU"/>
        </w:rPr>
        <w:t>000000</w:t>
      </w:r>
      <w:r>
        <w:rPr>
          <w:rFonts w:hint="default"/>
          <w:color w:val="000000" w:themeColor="text1"/>
          <w:lang w:val="en-US"/>
        </w:rPr>
        <w:t>:</w:t>
      </w:r>
      <w:r>
        <w:rPr>
          <w:rFonts w:hint="default"/>
          <w:color w:val="000000" w:themeColor="text1"/>
          <w:lang w:val="ru-RU"/>
        </w:rPr>
        <w:t>1122</w:t>
      </w:r>
      <w:r>
        <w:t xml:space="preserve">. </w:t>
      </w:r>
    </w:p>
    <w:p w14:paraId="1C61239B">
      <w:pPr>
        <w:autoSpaceDE w:val="0"/>
        <w:autoSpaceDN w:val="0"/>
        <w:adjustRightInd w:val="0"/>
        <w:jc w:val="both"/>
        <w:rPr>
          <w:bCs/>
        </w:rPr>
      </w:pPr>
    </w:p>
    <w:p w14:paraId="126B56A1">
      <w:pPr>
        <w:spacing w:line="240" w:lineRule="atLeast"/>
        <w:jc w:val="both"/>
        <w:rPr>
          <w:color w:val="000000" w:themeColor="text1"/>
        </w:rPr>
      </w:pPr>
      <w:r>
        <w:t xml:space="preserve">Начальная цена Имущества – </w:t>
      </w:r>
      <w:r>
        <w:rPr>
          <w:rFonts w:hint="default"/>
          <w:lang w:val="ru-RU"/>
        </w:rPr>
        <w:t>64 008</w:t>
      </w:r>
      <w:r>
        <w:rPr>
          <w:color w:val="000000" w:themeColor="text1"/>
        </w:rPr>
        <w:t xml:space="preserve"> (</w:t>
      </w:r>
      <w:r>
        <w:rPr>
          <w:color w:val="000000" w:themeColor="text1"/>
          <w:lang w:val="ru-RU"/>
        </w:rPr>
        <w:t>шестьдесят</w:t>
      </w:r>
      <w:r>
        <w:rPr>
          <w:rFonts w:hint="default"/>
          <w:color w:val="000000" w:themeColor="text1"/>
          <w:lang w:val="ru-RU"/>
        </w:rPr>
        <w:t xml:space="preserve"> четыре тысячи восемь</w:t>
      </w:r>
      <w:r>
        <w:rPr>
          <w:color w:val="000000" w:themeColor="text1"/>
        </w:rPr>
        <w:t>) рубл</w:t>
      </w:r>
      <w:r>
        <w:rPr>
          <w:color w:val="000000" w:themeColor="text1"/>
          <w:lang w:val="ru-RU"/>
        </w:rPr>
        <w:t>ей</w:t>
      </w:r>
      <w:r>
        <w:rPr>
          <w:color w:val="000000" w:themeColor="text1"/>
        </w:rPr>
        <w:t xml:space="preserve"> </w:t>
      </w:r>
      <w:r>
        <w:rPr>
          <w:rFonts w:hint="default"/>
          <w:color w:val="000000" w:themeColor="text1"/>
          <w:lang w:val="ru-RU"/>
        </w:rPr>
        <w:t>17</w:t>
      </w:r>
      <w:r>
        <w:rPr>
          <w:color w:val="000000" w:themeColor="text1"/>
        </w:rPr>
        <w:t xml:space="preserve"> копе</w:t>
      </w:r>
      <w:r>
        <w:rPr>
          <w:color w:val="000000" w:themeColor="text1"/>
          <w:lang w:val="ru-RU"/>
        </w:rPr>
        <w:t>ек</w:t>
      </w:r>
      <w:r>
        <w:rPr>
          <w:color w:val="000000" w:themeColor="text1"/>
        </w:rPr>
        <w:t xml:space="preserve">; </w:t>
      </w:r>
    </w:p>
    <w:p w14:paraId="4B5E7D55">
      <w:pPr>
        <w:spacing w:line="240" w:lineRule="atLeast"/>
        <w:jc w:val="both"/>
        <w:rPr>
          <w:color w:val="000000" w:themeColor="text1"/>
        </w:rPr>
      </w:pPr>
      <w:r>
        <w:rPr>
          <w:color w:val="000000" w:themeColor="text1"/>
        </w:rPr>
        <w:t>Шаг аукциона –</w:t>
      </w:r>
      <w:r>
        <w:rPr>
          <w:rFonts w:hint="default"/>
          <w:color w:val="000000" w:themeColor="text1"/>
          <w:lang w:val="ru-RU"/>
        </w:rPr>
        <w:t>1920</w:t>
      </w:r>
      <w:r>
        <w:rPr>
          <w:color w:val="000000" w:themeColor="text1"/>
        </w:rPr>
        <w:t xml:space="preserve"> (</w:t>
      </w:r>
      <w:r>
        <w:rPr>
          <w:color w:val="000000" w:themeColor="text1"/>
          <w:lang w:val="ru-RU"/>
        </w:rPr>
        <w:t>одна</w:t>
      </w:r>
      <w:r>
        <w:rPr>
          <w:rFonts w:hint="default"/>
          <w:color w:val="000000" w:themeColor="text1"/>
          <w:lang w:val="ru-RU"/>
        </w:rPr>
        <w:t xml:space="preserve"> тысяча девятьсот двадцать</w:t>
      </w:r>
      <w:r>
        <w:rPr>
          <w:color w:val="000000" w:themeColor="text1"/>
        </w:rPr>
        <w:t>) рубл</w:t>
      </w:r>
      <w:r>
        <w:rPr>
          <w:color w:val="000000" w:themeColor="text1"/>
          <w:lang w:val="ru-RU"/>
        </w:rPr>
        <w:t>ей</w:t>
      </w:r>
      <w:r>
        <w:rPr>
          <w:color w:val="000000" w:themeColor="text1"/>
        </w:rPr>
        <w:t xml:space="preserve"> </w:t>
      </w:r>
      <w:r>
        <w:rPr>
          <w:rFonts w:hint="default"/>
          <w:color w:val="000000" w:themeColor="text1"/>
          <w:lang w:val="ru-RU"/>
        </w:rPr>
        <w:t>24</w:t>
      </w:r>
      <w:r>
        <w:rPr>
          <w:color w:val="000000" w:themeColor="text1"/>
        </w:rPr>
        <w:t xml:space="preserve"> копе</w:t>
      </w:r>
      <w:r>
        <w:rPr>
          <w:color w:val="000000" w:themeColor="text1"/>
          <w:lang w:val="ru-RU"/>
        </w:rPr>
        <w:t>йки</w:t>
      </w:r>
      <w:r>
        <w:rPr>
          <w:color w:val="000000" w:themeColor="text1"/>
        </w:rPr>
        <w:t>.</w:t>
      </w:r>
    </w:p>
    <w:p w14:paraId="28978483">
      <w:pPr>
        <w:autoSpaceDE w:val="0"/>
        <w:autoSpaceDN w:val="0"/>
        <w:adjustRightInd w:val="0"/>
        <w:jc w:val="both"/>
        <w:rPr>
          <w:bCs/>
          <w:color w:val="000000" w:themeColor="text1"/>
        </w:rPr>
      </w:pPr>
    </w:p>
    <w:p w14:paraId="23F2C280">
      <w:pPr>
        <w:jc w:val="both"/>
      </w:pPr>
      <w:r>
        <w:t>Решение комиссии продавца:</w:t>
      </w:r>
    </w:p>
    <w:p w14:paraId="4AA19DD9">
      <w:pPr>
        <w:jc w:val="both"/>
      </w:pPr>
      <w:r>
        <w:t xml:space="preserve">Согласно протоколу определения участников аукциона от </w:t>
      </w:r>
      <w:r>
        <w:rPr>
          <w:rFonts w:hint="default"/>
          <w:color w:val="000000" w:themeColor="text1"/>
          <w:lang w:val="ru-RU"/>
        </w:rPr>
        <w:t>20</w:t>
      </w:r>
      <w:r>
        <w:rPr>
          <w:color w:val="000000" w:themeColor="text1"/>
        </w:rPr>
        <w:t>.0</w:t>
      </w:r>
      <w:r>
        <w:rPr>
          <w:rFonts w:hint="default"/>
          <w:color w:val="000000" w:themeColor="text1"/>
          <w:lang w:val="ru-RU"/>
        </w:rPr>
        <w:t>9</w:t>
      </w:r>
      <w:r>
        <w:rPr>
          <w:color w:val="000000" w:themeColor="text1"/>
        </w:rPr>
        <w:t>.2024</w:t>
      </w:r>
      <w:r>
        <w:t xml:space="preserve"> к участию в аукционе, Объявленном Продавцом на </w:t>
      </w:r>
      <w:r>
        <w:rPr>
          <w:rFonts w:hint="default"/>
          <w:lang w:val="ru-RU"/>
        </w:rPr>
        <w:t>25</w:t>
      </w:r>
      <w:r>
        <w:rPr>
          <w:color w:val="4F81BD"/>
        </w:rPr>
        <w:t>.</w:t>
      </w:r>
      <w:r>
        <w:rPr>
          <w:color w:val="000000" w:themeColor="text1"/>
        </w:rPr>
        <w:t>0</w:t>
      </w:r>
      <w:r>
        <w:rPr>
          <w:rFonts w:hint="default"/>
          <w:color w:val="000000" w:themeColor="text1"/>
          <w:lang w:val="ru-RU"/>
        </w:rPr>
        <w:t>9</w:t>
      </w:r>
      <w:r>
        <w:rPr>
          <w:color w:val="000000" w:themeColor="text1"/>
        </w:rPr>
        <w:t>.2024</w:t>
      </w:r>
      <w:r>
        <w:t xml:space="preserve"> года по продаже Имущества, </w:t>
      </w:r>
      <w:r>
        <w:rPr>
          <w:lang w:val="ru-RU"/>
        </w:rPr>
        <w:t>заявок</w:t>
      </w:r>
      <w:r>
        <w:rPr>
          <w:rFonts w:hint="default"/>
          <w:lang w:val="ru-RU"/>
        </w:rPr>
        <w:t xml:space="preserve"> не поступило</w:t>
      </w:r>
      <w:bookmarkStart w:id="0" w:name="_GoBack"/>
      <w:bookmarkEnd w:id="0"/>
      <w:r>
        <w:t>, в связи с чем, аукцион признан несостоявшимся.</w:t>
      </w:r>
    </w:p>
    <w:p w14:paraId="57913FD7">
      <w:pPr>
        <w:jc w:val="both"/>
      </w:pPr>
    </w:p>
    <w:p w14:paraId="5545A8FD">
      <w:pPr>
        <w:jc w:val="both"/>
      </w:pPr>
      <w:r>
        <w:t>Подписи членов комиссии:</w:t>
      </w:r>
    </w:p>
    <w:tbl>
      <w:tblPr>
        <w:tblStyle w:val="3"/>
        <w:tblW w:w="934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3348"/>
      </w:tblGrid>
      <w:tr w14:paraId="69178B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9" w:type="dxa"/>
            <w:shd w:val="clear" w:color="auto" w:fill="FFFFFF"/>
            <w:vAlign w:val="center"/>
          </w:tcPr>
          <w:p w14:paraId="5EE1342A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3072" w:type="dxa"/>
            <w:shd w:val="clear" w:color="auto" w:fill="FFFFFF"/>
            <w:vAlign w:val="center"/>
          </w:tcPr>
          <w:p w14:paraId="2A4020EE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3350" w:type="dxa"/>
            <w:shd w:val="clear" w:color="auto" w:fill="FFFFFF"/>
            <w:vAlign w:val="center"/>
          </w:tcPr>
          <w:p w14:paraId="7906D8FB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</w:tc>
      </w:tr>
    </w:tbl>
    <w:p w14:paraId="1DAB64B6">
      <w:pPr>
        <w:ind w:left="142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Члены комиссии:</w:t>
      </w:r>
    </w:p>
    <w:tbl>
      <w:tblPr>
        <w:tblStyle w:val="3"/>
        <w:tblpPr w:leftFromText="180" w:rightFromText="180" w:bottomFromText="200" w:vertAnchor="text" w:tblpY="1"/>
        <w:tblOverlap w:val="never"/>
        <w:tblW w:w="956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2"/>
        <w:gridCol w:w="3168"/>
        <w:gridCol w:w="3152"/>
      </w:tblGrid>
      <w:tr w14:paraId="1387C7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3242" w:type="dxa"/>
            <w:shd w:val="clear" w:color="auto" w:fill="FFFFFF"/>
            <w:vAlign w:val="center"/>
          </w:tcPr>
          <w:p w14:paraId="02A194D0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Росейчук Елена Витальевна - начальник отдела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</w:tc>
        <w:tc>
          <w:tcPr>
            <w:tcW w:w="3168" w:type="dxa"/>
            <w:shd w:val="clear" w:color="auto" w:fill="FFFFFF"/>
            <w:vAlign w:val="center"/>
          </w:tcPr>
          <w:p w14:paraId="312EFE77">
            <w:pPr>
              <w:shd w:val="clear" w:color="auto" w:fill="FFFFFF"/>
              <w:spacing w:before="0" w:after="0" w:line="240" w:lineRule="auto"/>
              <w:ind w:firstLine="709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>Борисенко Ольга Ивановна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– главный специалист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  <w:lang w:val="ru-RU"/>
              </w:rPr>
              <w:t>1 разряда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отдела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  <w:p w14:paraId="16FC9E10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2" w:type="dxa"/>
            <w:shd w:val="clear" w:color="auto" w:fill="FFFFFF"/>
            <w:vAlign w:val="center"/>
          </w:tcPr>
          <w:p w14:paraId="4780599C">
            <w:pPr>
              <w:shd w:val="clear" w:color="auto" w:fill="FFFFFF"/>
              <w:spacing w:before="0" w:after="0" w:line="240" w:lineRule="auto"/>
              <w:ind w:right="6" w:firstLine="709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Ким Наталья Васильевна –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highlight w:val="white"/>
                <w:lang w:val="ru-RU" w:eastAsia="ru-RU" w:bidi="ar-SA"/>
              </w:rPr>
              <w:t xml:space="preserve">главный специалист 1-го разряда отдела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архитектуры и 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  <w:p w14:paraId="4E8C533D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3"/>
        <w:tblW w:w="974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3750"/>
      </w:tblGrid>
      <w:tr w14:paraId="2EAAFC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189DD5BD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1AB3D55E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Бреннер</w:t>
            </w: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Арина Вячеславовна</w:t>
            </w:r>
          </w:p>
        </w:tc>
        <w:tc>
          <w:tcPr>
            <w:tcW w:w="3750" w:type="dxa"/>
            <w:shd w:val="clear" w:color="auto" w:fill="FFFFFF"/>
            <w:vAlign w:val="center"/>
          </w:tcPr>
          <w:p w14:paraId="1DC08366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главный специалист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  <w:lang w:val="ru-RU"/>
              </w:rPr>
              <w:t>1 разряда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отдела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</w:tr>
    </w:tbl>
    <w:p w14:paraId="6204BE39">
      <w:pPr>
        <w:rPr>
          <w:lang w:val="en-US"/>
        </w:rPr>
      </w:pPr>
    </w:p>
    <w:sectPr>
      <w:footerReference r:id="rId5" w:type="default"/>
      <w:pgSz w:w="11906" w:h="16838"/>
      <w:pgMar w:top="568" w:right="851" w:bottom="851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88AD02">
    <w:pPr>
      <w:pStyle w:val="10"/>
      <w:jc w:val="right"/>
    </w:pPr>
  </w:p>
  <w:p w14:paraId="54EAEB68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425F0B"/>
    <w:rsid w:val="00001CA9"/>
    <w:rsid w:val="00006001"/>
    <w:rsid w:val="000117AB"/>
    <w:rsid w:val="0002205F"/>
    <w:rsid w:val="000406D8"/>
    <w:rsid w:val="000416B6"/>
    <w:rsid w:val="000612F3"/>
    <w:rsid w:val="00061EDD"/>
    <w:rsid w:val="000621F3"/>
    <w:rsid w:val="000623BA"/>
    <w:rsid w:val="00070374"/>
    <w:rsid w:val="00071E99"/>
    <w:rsid w:val="00074210"/>
    <w:rsid w:val="00085A10"/>
    <w:rsid w:val="0009214A"/>
    <w:rsid w:val="00095384"/>
    <w:rsid w:val="000B50D7"/>
    <w:rsid w:val="000B533C"/>
    <w:rsid w:val="000C22F9"/>
    <w:rsid w:val="000C7BA0"/>
    <w:rsid w:val="000D09AA"/>
    <w:rsid w:val="000D2C6B"/>
    <w:rsid w:val="000F05F9"/>
    <w:rsid w:val="000F23B4"/>
    <w:rsid w:val="000F68DE"/>
    <w:rsid w:val="0011795C"/>
    <w:rsid w:val="00123AE0"/>
    <w:rsid w:val="00143DFA"/>
    <w:rsid w:val="00144D1D"/>
    <w:rsid w:val="0015122D"/>
    <w:rsid w:val="00152498"/>
    <w:rsid w:val="00153D6D"/>
    <w:rsid w:val="001554AD"/>
    <w:rsid w:val="00167889"/>
    <w:rsid w:val="00185AA3"/>
    <w:rsid w:val="001A2894"/>
    <w:rsid w:val="001A5CFE"/>
    <w:rsid w:val="001B6DE3"/>
    <w:rsid w:val="001D1342"/>
    <w:rsid w:val="001D1B28"/>
    <w:rsid w:val="001D5F6A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522B2"/>
    <w:rsid w:val="002607D8"/>
    <w:rsid w:val="002657D1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1EFB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20ADC"/>
    <w:rsid w:val="0032129B"/>
    <w:rsid w:val="003220E2"/>
    <w:rsid w:val="003315AF"/>
    <w:rsid w:val="00351F67"/>
    <w:rsid w:val="0035444D"/>
    <w:rsid w:val="0035765B"/>
    <w:rsid w:val="00362150"/>
    <w:rsid w:val="00373119"/>
    <w:rsid w:val="00383C47"/>
    <w:rsid w:val="00386736"/>
    <w:rsid w:val="003A17E7"/>
    <w:rsid w:val="003A2A3A"/>
    <w:rsid w:val="003A6138"/>
    <w:rsid w:val="003C6FB5"/>
    <w:rsid w:val="003C7EEA"/>
    <w:rsid w:val="003D1891"/>
    <w:rsid w:val="003E1CF3"/>
    <w:rsid w:val="003E340F"/>
    <w:rsid w:val="003F60CA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3478"/>
    <w:rsid w:val="004469FC"/>
    <w:rsid w:val="00452CA1"/>
    <w:rsid w:val="00455C64"/>
    <w:rsid w:val="00465DEF"/>
    <w:rsid w:val="00471399"/>
    <w:rsid w:val="00476354"/>
    <w:rsid w:val="00477157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E1F94"/>
    <w:rsid w:val="004F2E74"/>
    <w:rsid w:val="00503CAC"/>
    <w:rsid w:val="005076C1"/>
    <w:rsid w:val="00526A7B"/>
    <w:rsid w:val="005319EA"/>
    <w:rsid w:val="005516FE"/>
    <w:rsid w:val="00551CD6"/>
    <w:rsid w:val="005531DE"/>
    <w:rsid w:val="0055791C"/>
    <w:rsid w:val="00562DD3"/>
    <w:rsid w:val="005771D0"/>
    <w:rsid w:val="005957E6"/>
    <w:rsid w:val="0059706A"/>
    <w:rsid w:val="005B49C9"/>
    <w:rsid w:val="005B49E9"/>
    <w:rsid w:val="005D5DAD"/>
    <w:rsid w:val="005D6E50"/>
    <w:rsid w:val="005E699B"/>
    <w:rsid w:val="005E7D0F"/>
    <w:rsid w:val="005F50FE"/>
    <w:rsid w:val="005F70FF"/>
    <w:rsid w:val="00610DD2"/>
    <w:rsid w:val="00611D9A"/>
    <w:rsid w:val="00621184"/>
    <w:rsid w:val="00624359"/>
    <w:rsid w:val="00624F80"/>
    <w:rsid w:val="00631C8E"/>
    <w:rsid w:val="006327EE"/>
    <w:rsid w:val="00642DB2"/>
    <w:rsid w:val="0064571C"/>
    <w:rsid w:val="0064588A"/>
    <w:rsid w:val="00646445"/>
    <w:rsid w:val="00651A79"/>
    <w:rsid w:val="00666725"/>
    <w:rsid w:val="00670DC7"/>
    <w:rsid w:val="006A0AE2"/>
    <w:rsid w:val="006B2C0D"/>
    <w:rsid w:val="006B35A8"/>
    <w:rsid w:val="006C1B09"/>
    <w:rsid w:val="006C289B"/>
    <w:rsid w:val="006D31AE"/>
    <w:rsid w:val="006D7888"/>
    <w:rsid w:val="006E3B3F"/>
    <w:rsid w:val="006E4950"/>
    <w:rsid w:val="006F3DC0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371CB"/>
    <w:rsid w:val="007520D6"/>
    <w:rsid w:val="007579BD"/>
    <w:rsid w:val="00763741"/>
    <w:rsid w:val="00771B04"/>
    <w:rsid w:val="00771BA8"/>
    <w:rsid w:val="007737F9"/>
    <w:rsid w:val="00787EC4"/>
    <w:rsid w:val="00791900"/>
    <w:rsid w:val="00792355"/>
    <w:rsid w:val="0079658A"/>
    <w:rsid w:val="0079788A"/>
    <w:rsid w:val="00797D7F"/>
    <w:rsid w:val="007E57CB"/>
    <w:rsid w:val="007E7EC5"/>
    <w:rsid w:val="007F320C"/>
    <w:rsid w:val="008016BC"/>
    <w:rsid w:val="008064EE"/>
    <w:rsid w:val="008304CA"/>
    <w:rsid w:val="00841847"/>
    <w:rsid w:val="00841AD0"/>
    <w:rsid w:val="00841AEC"/>
    <w:rsid w:val="00843B70"/>
    <w:rsid w:val="00866112"/>
    <w:rsid w:val="00871123"/>
    <w:rsid w:val="00876DBE"/>
    <w:rsid w:val="008A2751"/>
    <w:rsid w:val="008A2E82"/>
    <w:rsid w:val="008B02CC"/>
    <w:rsid w:val="008B2C85"/>
    <w:rsid w:val="008B73C2"/>
    <w:rsid w:val="008B75B4"/>
    <w:rsid w:val="008C1AED"/>
    <w:rsid w:val="008D2685"/>
    <w:rsid w:val="008E166E"/>
    <w:rsid w:val="008F0253"/>
    <w:rsid w:val="008F2324"/>
    <w:rsid w:val="009002DB"/>
    <w:rsid w:val="00901301"/>
    <w:rsid w:val="00902D33"/>
    <w:rsid w:val="00905AFC"/>
    <w:rsid w:val="00912507"/>
    <w:rsid w:val="0091589C"/>
    <w:rsid w:val="009366BA"/>
    <w:rsid w:val="009501E6"/>
    <w:rsid w:val="009644B5"/>
    <w:rsid w:val="0097357B"/>
    <w:rsid w:val="00977240"/>
    <w:rsid w:val="00982D4D"/>
    <w:rsid w:val="00995FE3"/>
    <w:rsid w:val="00996BE9"/>
    <w:rsid w:val="009A2E03"/>
    <w:rsid w:val="009A356D"/>
    <w:rsid w:val="009A7C37"/>
    <w:rsid w:val="009B31E1"/>
    <w:rsid w:val="009B65A0"/>
    <w:rsid w:val="009B7276"/>
    <w:rsid w:val="009D4EA2"/>
    <w:rsid w:val="009F76DA"/>
    <w:rsid w:val="00A05E57"/>
    <w:rsid w:val="00A0749A"/>
    <w:rsid w:val="00A171CD"/>
    <w:rsid w:val="00A201B4"/>
    <w:rsid w:val="00A24E84"/>
    <w:rsid w:val="00A3132A"/>
    <w:rsid w:val="00A316FB"/>
    <w:rsid w:val="00A45CF2"/>
    <w:rsid w:val="00A61454"/>
    <w:rsid w:val="00A8330A"/>
    <w:rsid w:val="00A943FD"/>
    <w:rsid w:val="00AA1B86"/>
    <w:rsid w:val="00AA1C79"/>
    <w:rsid w:val="00AA686D"/>
    <w:rsid w:val="00AA708D"/>
    <w:rsid w:val="00AB1119"/>
    <w:rsid w:val="00AD7279"/>
    <w:rsid w:val="00AE4B8A"/>
    <w:rsid w:val="00AF6321"/>
    <w:rsid w:val="00B1789E"/>
    <w:rsid w:val="00B216E6"/>
    <w:rsid w:val="00B2377D"/>
    <w:rsid w:val="00B27C3D"/>
    <w:rsid w:val="00B33F53"/>
    <w:rsid w:val="00B421A9"/>
    <w:rsid w:val="00B46320"/>
    <w:rsid w:val="00B46C35"/>
    <w:rsid w:val="00B5742C"/>
    <w:rsid w:val="00B57529"/>
    <w:rsid w:val="00B61C8E"/>
    <w:rsid w:val="00B61D07"/>
    <w:rsid w:val="00B824A6"/>
    <w:rsid w:val="00B931A2"/>
    <w:rsid w:val="00B961DA"/>
    <w:rsid w:val="00BB20B7"/>
    <w:rsid w:val="00BB2B12"/>
    <w:rsid w:val="00BB2DEF"/>
    <w:rsid w:val="00BB6573"/>
    <w:rsid w:val="00BC4940"/>
    <w:rsid w:val="00BD3985"/>
    <w:rsid w:val="00BD762D"/>
    <w:rsid w:val="00BE6177"/>
    <w:rsid w:val="00BE6630"/>
    <w:rsid w:val="00C0099B"/>
    <w:rsid w:val="00C039CD"/>
    <w:rsid w:val="00C03E69"/>
    <w:rsid w:val="00C069D4"/>
    <w:rsid w:val="00C07649"/>
    <w:rsid w:val="00C0786B"/>
    <w:rsid w:val="00C14640"/>
    <w:rsid w:val="00C148E3"/>
    <w:rsid w:val="00C150C1"/>
    <w:rsid w:val="00C15581"/>
    <w:rsid w:val="00C21889"/>
    <w:rsid w:val="00C25427"/>
    <w:rsid w:val="00C4029B"/>
    <w:rsid w:val="00C632D1"/>
    <w:rsid w:val="00C65F99"/>
    <w:rsid w:val="00C712C7"/>
    <w:rsid w:val="00C71F70"/>
    <w:rsid w:val="00C81B52"/>
    <w:rsid w:val="00C8624F"/>
    <w:rsid w:val="00CA6FCF"/>
    <w:rsid w:val="00CB425C"/>
    <w:rsid w:val="00CB6555"/>
    <w:rsid w:val="00CC095B"/>
    <w:rsid w:val="00CC0E9C"/>
    <w:rsid w:val="00CC7DC5"/>
    <w:rsid w:val="00CD4635"/>
    <w:rsid w:val="00CD4DE0"/>
    <w:rsid w:val="00CD597A"/>
    <w:rsid w:val="00CE25C8"/>
    <w:rsid w:val="00D01D27"/>
    <w:rsid w:val="00D045FB"/>
    <w:rsid w:val="00D04A83"/>
    <w:rsid w:val="00D066B6"/>
    <w:rsid w:val="00D175B4"/>
    <w:rsid w:val="00D2095F"/>
    <w:rsid w:val="00D33134"/>
    <w:rsid w:val="00D53C4D"/>
    <w:rsid w:val="00D56061"/>
    <w:rsid w:val="00D628A8"/>
    <w:rsid w:val="00D956A3"/>
    <w:rsid w:val="00DA6A39"/>
    <w:rsid w:val="00DA7F28"/>
    <w:rsid w:val="00DC0892"/>
    <w:rsid w:val="00DD1B87"/>
    <w:rsid w:val="00DD36C5"/>
    <w:rsid w:val="00DD5FD3"/>
    <w:rsid w:val="00DD7F0A"/>
    <w:rsid w:val="00DE4FD1"/>
    <w:rsid w:val="00DF284D"/>
    <w:rsid w:val="00E041DD"/>
    <w:rsid w:val="00E04B51"/>
    <w:rsid w:val="00E103F3"/>
    <w:rsid w:val="00E21BD1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5654"/>
    <w:rsid w:val="00E9670B"/>
    <w:rsid w:val="00EB1716"/>
    <w:rsid w:val="00EB4C89"/>
    <w:rsid w:val="00EC323C"/>
    <w:rsid w:val="00EC4BCF"/>
    <w:rsid w:val="00ED5349"/>
    <w:rsid w:val="00ED608C"/>
    <w:rsid w:val="00ED784B"/>
    <w:rsid w:val="00EE3B85"/>
    <w:rsid w:val="00EF2629"/>
    <w:rsid w:val="00EF4720"/>
    <w:rsid w:val="00F01690"/>
    <w:rsid w:val="00F06719"/>
    <w:rsid w:val="00F201A9"/>
    <w:rsid w:val="00F45418"/>
    <w:rsid w:val="00F52F86"/>
    <w:rsid w:val="00F62533"/>
    <w:rsid w:val="00F65177"/>
    <w:rsid w:val="00F66BF5"/>
    <w:rsid w:val="00F75BE3"/>
    <w:rsid w:val="00F9565B"/>
    <w:rsid w:val="00FA02E3"/>
    <w:rsid w:val="00FA0664"/>
    <w:rsid w:val="00FA0FCC"/>
    <w:rsid w:val="00FB7101"/>
    <w:rsid w:val="00FC1450"/>
    <w:rsid w:val="00FC6598"/>
    <w:rsid w:val="00FE484C"/>
    <w:rsid w:val="01900682"/>
    <w:rsid w:val="0E8A42F2"/>
    <w:rsid w:val="1FF60BF9"/>
    <w:rsid w:val="25984165"/>
    <w:rsid w:val="299E7571"/>
    <w:rsid w:val="64E733A5"/>
    <w:rsid w:val="7E5F3A86"/>
    <w:rsid w:val="7E826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2"/>
    <w:semiHidden/>
    <w:unhideWhenUsed/>
    <w:qFormat/>
    <w:uiPriority w:val="99"/>
    <w:rPr>
      <w:sz w:val="16"/>
      <w:szCs w:val="16"/>
    </w:rPr>
  </w:style>
  <w:style w:type="character" w:styleId="5">
    <w:name w:val="Hyperlink"/>
    <w:basedOn w:val="2"/>
    <w:unhideWhenUsed/>
    <w:qFormat/>
    <w:uiPriority w:val="99"/>
    <w:rPr>
      <w:color w:val="0000FF" w:themeColor="hyperlink"/>
      <w:u w:val="single"/>
    </w:rPr>
  </w:style>
  <w:style w:type="paragraph" w:styleId="6">
    <w:name w:val="Balloon Text"/>
    <w:basedOn w:val="1"/>
    <w:link w:val="12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7">
    <w:name w:val="annotation text"/>
    <w:basedOn w:val="1"/>
    <w:link w:val="14"/>
    <w:unhideWhenUsed/>
    <w:qFormat/>
    <w:uiPriority w:val="99"/>
    <w:rPr>
      <w:sz w:val="20"/>
      <w:szCs w:val="20"/>
    </w:rPr>
  </w:style>
  <w:style w:type="paragraph" w:styleId="8">
    <w:name w:val="annotation subject"/>
    <w:basedOn w:val="7"/>
    <w:next w:val="7"/>
    <w:link w:val="15"/>
    <w:semiHidden/>
    <w:unhideWhenUsed/>
    <w:qFormat/>
    <w:uiPriority w:val="99"/>
    <w:rPr>
      <w:b/>
      <w:bCs/>
    </w:rPr>
  </w:style>
  <w:style w:type="paragraph" w:styleId="9">
    <w:name w:val="header"/>
    <w:basedOn w:val="1"/>
    <w:link w:val="16"/>
    <w:unhideWhenUsed/>
    <w:qFormat/>
    <w:uiPriority w:val="99"/>
    <w:pPr>
      <w:tabs>
        <w:tab w:val="center" w:pos="4677"/>
        <w:tab w:val="right" w:pos="9355"/>
      </w:tabs>
    </w:pPr>
  </w:style>
  <w:style w:type="paragraph" w:styleId="10">
    <w:name w:val="footer"/>
    <w:basedOn w:val="1"/>
    <w:link w:val="17"/>
    <w:unhideWhenUsed/>
    <w:qFormat/>
    <w:uiPriority w:val="99"/>
    <w:pPr>
      <w:tabs>
        <w:tab w:val="center" w:pos="4677"/>
        <w:tab w:val="right" w:pos="9355"/>
      </w:tabs>
    </w:pPr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character" w:customStyle="1" w:styleId="12">
    <w:name w:val="Текст выноски Знак"/>
    <w:basedOn w:val="2"/>
    <w:link w:val="6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3">
    <w:name w:val="profile-menu-description"/>
    <w:basedOn w:val="2"/>
    <w:qFormat/>
    <w:uiPriority w:val="0"/>
  </w:style>
  <w:style w:type="character" w:customStyle="1" w:styleId="14">
    <w:name w:val="Текст примечания Знак"/>
    <w:basedOn w:val="2"/>
    <w:link w:val="7"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5">
    <w:name w:val="Тема примечания Знак"/>
    <w:basedOn w:val="14"/>
    <w:link w:val="8"/>
    <w:semiHidden/>
    <w:qFormat/>
    <w:uiPriority w:val="99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customStyle="1" w:styleId="16">
    <w:name w:val="Верхний колонтитул Знак"/>
    <w:basedOn w:val="2"/>
    <w:link w:val="9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7">
    <w:name w:val="Нижний колонтитул Знак"/>
    <w:basedOn w:val="2"/>
    <w:link w:val="10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96347692-389D-4334-957C-10B6CA0C539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2</Pages>
  <Words>190</Words>
  <Characters>1087</Characters>
  <Lines>9</Lines>
  <Paragraphs>2</Paragraphs>
  <TotalTime>41</TotalTime>
  <ScaleCrop>false</ScaleCrop>
  <LinksUpToDate>false</LinksUpToDate>
  <CharactersWithSpaces>1275</CharactersWithSpaces>
  <Application>WPS Office_12.2.0.18283_F1E327BC-269C-435d-A152-05C5408002CA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2017-06-08T09:21:00Z</dcterms:created>
  <dc:creator>Oxana</dc:creator>
  <cp:lastModifiedBy>TkachenkoZV</cp:lastModifiedBy>
  <cp:lastPrinted>2016-01-21T08:13:00Z</cp:lastPrinted>
  <dcterms:modified xsi:type="dcterms:W3CDTF">2024-09-26T00:04:57Z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5A2F07C794374265866501B8DF0E0FE1_12</vt:lpwstr>
  </property>
</Properties>
</file>