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1E80" w:rsidRPr="00B869FB" w:rsidRDefault="008C1E80" w:rsidP="00B869FB">
      <w:pPr>
        <w:shd w:val="clear" w:color="auto" w:fill="FFFFFF"/>
        <w:spacing w:before="600" w:after="60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B869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 xml:space="preserve">Оценка </w:t>
      </w:r>
      <w:proofErr w:type="spellStart"/>
      <w:r w:rsidRPr="00B869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профрисков</w:t>
      </w:r>
      <w:proofErr w:type="spellEnd"/>
      <w:r w:rsidRPr="00B869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shd w:val="clear" w:color="auto" w:fill="FFFFFF"/>
          <w:lang w:eastAsia="ru-RU"/>
        </w:rPr>
        <w:t>, кто и зачем должен ее проводить?</w:t>
      </w:r>
    </w:p>
    <w:p w:rsidR="008C1E80" w:rsidRPr="00B869FB" w:rsidRDefault="008C1E80" w:rsidP="00310D89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>1</w:t>
      </w:r>
      <w:r w:rsidR="00310D89"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 xml:space="preserve">. </w:t>
      </w:r>
      <w:r w:rsidRPr="00B869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 такое профессиональный риск? Оценка профессиональных рисков?</w:t>
      </w:r>
    </w:p>
    <w:p w:rsidR="008C1E80" w:rsidRPr="00B869FB" w:rsidRDefault="008C1E80" w:rsidP="002774B1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Профессиональный риск - сочетание вероятности нанесения ущерба здоровью и жизни работника в процессе труда и тяжести этого ущерба. Оценка профессионального риска – процедура, позволяющая определить количественное или качественное значение показателя риска.</w:t>
      </w:r>
    </w:p>
    <w:p w:rsidR="008C1E80" w:rsidRPr="00B869FB" w:rsidRDefault="008C1E80" w:rsidP="00310D89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>2</w:t>
      </w:r>
      <w:r w:rsidR="00310D89"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 xml:space="preserve">. </w:t>
      </w:r>
      <w:r w:rsidRPr="00B869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Какие нормативные акты об оценке профессиональных рисков необходимо изучить?</w:t>
      </w:r>
    </w:p>
    <w:p w:rsidR="008C1E80" w:rsidRPr="00B869FB" w:rsidRDefault="008C1E80" w:rsidP="002774B1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- Статья 212 Трудового Кодекса Российской Федерации, которая обязала работодателя информировать работников о риске повреждения их здоровья в процессе труда. - Типовое положение о системе управления охраной труда, утвержденное Приказом Минтруда 19.08.16 №438н. В нем раскрываются понятия профессиональных рисков и процедуры управления ими. - ГОСТ Р 12.0.010-2009 «Система стандартов безопасности труда (ССБТ). Системы управления охраной труда. Определение опасностей и оценка рисков», где описаны правила и методы оценки профессиональных рисков.</w:t>
      </w:r>
    </w:p>
    <w:p w:rsidR="008C1E80" w:rsidRPr="00B869FB" w:rsidRDefault="008C1E80" w:rsidP="00310D89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>3</w:t>
      </w:r>
      <w:r w:rsidR="00310D89"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 xml:space="preserve">. </w:t>
      </w:r>
      <w:r w:rsidRPr="00B869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Зачем оценивать профессиональные риски?</w:t>
      </w:r>
    </w:p>
    <w:p w:rsidR="008C1E80" w:rsidRPr="00B869FB" w:rsidRDefault="008C1E80" w:rsidP="002774B1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Управление профессиональными рисками – прямая обязанность работодателя. Кроме того, оценка профессиональных рисков – инструмент профилактический. Практическая польза от этого мероприятия заключается в том, что работодателю заранее становится известно о прогностической вероятности наступления инцидентов различного характера в его организации. Именно это позволяет проводить мероприятия по охране труда осознанно и целенаправленно.</w:t>
      </w:r>
    </w:p>
    <w:p w:rsidR="008C1E80" w:rsidRPr="00B869FB" w:rsidRDefault="008C1E80" w:rsidP="00310D89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>4</w:t>
      </w:r>
      <w:r w:rsidR="00310D89"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 xml:space="preserve">. </w:t>
      </w:r>
      <w:r w:rsidRPr="00B869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Кто может оценивать профессиональные риски?</w:t>
      </w:r>
    </w:p>
    <w:p w:rsidR="008C1E80" w:rsidRPr="00B869FB" w:rsidRDefault="008C1E80" w:rsidP="002774B1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Определять уровни профессиональных рисков могут лица, в достаточной степени владеющие хотя бы одной из существующих оценочных методик. Квалификация эксперта должна позволять ему в полной мере учесть все риски (в том числе неявные) и предложить адекватные мероприятия по управлению ими. Целесообразно прибегать к услугам профильных организаций сферы охраны труда. Эксперты учебн</w:t>
      </w:r>
      <w:r w:rsidR="00941FB7"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ых</w:t>
      </w:r>
      <w:r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цен</w:t>
      </w:r>
      <w:r w:rsidR="00941FB7"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тров</w:t>
      </w:r>
      <w:r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проводят</w:t>
      </w:r>
      <w:r w:rsidR="00264728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="00264728" w:rsidRPr="002774B1">
        <w:rPr>
          <w:rFonts w:ascii="Times New Roman" w:eastAsia="Times New Roman" w:hAnsi="Times New Roman" w:cs="Times New Roman"/>
          <w:color w:val="FF0000"/>
          <w:spacing w:val="6"/>
          <w:sz w:val="24"/>
          <w:szCs w:val="24"/>
          <w:u w:val="single"/>
          <w:lang w:eastAsia="ru-RU"/>
        </w:rPr>
        <w:t xml:space="preserve">оценку профессиональных </w:t>
      </w:r>
      <w:proofErr w:type="gramStart"/>
      <w:r w:rsidR="00264728" w:rsidRPr="002774B1">
        <w:rPr>
          <w:rFonts w:ascii="Times New Roman" w:eastAsia="Times New Roman" w:hAnsi="Times New Roman" w:cs="Times New Roman"/>
          <w:color w:val="FF0000"/>
          <w:spacing w:val="6"/>
          <w:sz w:val="24"/>
          <w:szCs w:val="24"/>
          <w:u w:val="single"/>
          <w:lang w:eastAsia="ru-RU"/>
        </w:rPr>
        <w:t>рисков</w:t>
      </w:r>
      <w:r w:rsidR="00264728" w:rsidRPr="00FC14D4">
        <w:rPr>
          <w:rFonts w:ascii="Times New Roman" w:eastAsia="Times New Roman" w:hAnsi="Times New Roman" w:cs="Times New Roman"/>
          <w:color w:val="FF0000"/>
          <w:spacing w:val="6"/>
          <w:sz w:val="24"/>
          <w:szCs w:val="24"/>
          <w:lang w:eastAsia="ru-RU"/>
        </w:rPr>
        <w:t xml:space="preserve"> </w:t>
      </w:r>
      <w:r w:rsidRPr="00FC14D4">
        <w:rPr>
          <w:rFonts w:ascii="Times New Roman" w:eastAsia="Times New Roman" w:hAnsi="Times New Roman" w:cs="Times New Roman"/>
          <w:color w:val="FF0000"/>
          <w:spacing w:val="6"/>
          <w:sz w:val="24"/>
          <w:szCs w:val="24"/>
          <w:lang w:eastAsia="ru-RU"/>
        </w:rPr>
        <w:t> </w:t>
      </w:r>
      <w:r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на</w:t>
      </w:r>
      <w:proofErr w:type="gramEnd"/>
      <w:r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предприятиях различного профиля с подготовкой всей необходимой документации.</w:t>
      </w:r>
    </w:p>
    <w:p w:rsidR="008C1E80" w:rsidRPr="00B869FB" w:rsidRDefault="008C1E80" w:rsidP="00310D89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>5</w:t>
      </w:r>
      <w:r w:rsidR="00310D89"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 xml:space="preserve">. </w:t>
      </w:r>
      <w:r w:rsidRPr="00B869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оценить профессиональный риск?</w:t>
      </w:r>
    </w:p>
    <w:p w:rsidR="008C1E80" w:rsidRPr="00B869FB" w:rsidRDefault="008C1E80" w:rsidP="002774B1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В общих чертах процедура определения профессионального риска сводится к решению экспертами следующих задач: - идентификации опасностей, определения их возможных проявлений и последствий, показателя ущерба; - определения вероятности (частоты) наступления ущерба; - оценки (расчета) уровня риска.</w:t>
      </w:r>
    </w:p>
    <w:p w:rsidR="008C1E80" w:rsidRPr="00B869FB" w:rsidRDefault="008C1E80" w:rsidP="00310D89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>6</w:t>
      </w:r>
      <w:r w:rsidR="00310D89"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 xml:space="preserve">. </w:t>
      </w:r>
      <w:r w:rsidRPr="00B869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выбрать методику оценки риска?</w:t>
      </w:r>
    </w:p>
    <w:p w:rsidR="008C1E80" w:rsidRPr="00B869FB" w:rsidRDefault="008C1E80" w:rsidP="002774B1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Единой утвержденной (или даже рекомендованной) методики оценки профессиональных рисков в России на данный момент не существует. Согласно ГОСТ Р 12.0.010-2009 выбор метода зависит от целей оценки рисков, имеющегося объема статистической информации и особенностей решаемых задач. Широкий спектр хорошо </w:t>
      </w:r>
      <w:r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lastRenderedPageBreak/>
        <w:t>зарекомендовавших себя методик, основанных как на прямых, так и на косвенных оценочных методах, позволяет определять профессиональные риски с высокой степенью прогностической точности.</w:t>
      </w:r>
    </w:p>
    <w:p w:rsidR="008C1E80" w:rsidRPr="00B869FB" w:rsidRDefault="008C1E80" w:rsidP="00310D89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>7</w:t>
      </w:r>
      <w:r w:rsidR="00310D89"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 xml:space="preserve">. </w:t>
      </w:r>
      <w:r w:rsidRPr="00B869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идентифицировать опасности?</w:t>
      </w:r>
    </w:p>
    <w:p w:rsidR="008C1E80" w:rsidRPr="00B869FB" w:rsidRDefault="008C1E80" w:rsidP="002774B1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Начать идентификацию опасностей необходимо с определения возможных источников их возникновения. А именно – факторов, сопряженных с профессиональной деятельностью работника, областью деятельности организации, реализацией человеческого фактора и форс-мажорных (случайных) обстоятельств. Полученные данные сводятся в единую базу – реестр опасностей. После комплексного анализа всех опасностей экспертами дается прогноз ущерба от реализации каждой из них. Поскольку идентификация опасностей носит субъективный характер, точность ее выполнения напрямую зависит от опыта и квалификации проводящего ее эксперта.</w:t>
      </w:r>
    </w:p>
    <w:p w:rsidR="008C1E80" w:rsidRPr="00B869FB" w:rsidRDefault="008C1E80" w:rsidP="00310D89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>8</w:t>
      </w:r>
      <w:r w:rsidR="00310D89"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 xml:space="preserve">. </w:t>
      </w:r>
      <w:r w:rsidRPr="00B869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Какие рабочие места подлежат оценке профессиональных рисков?</w:t>
      </w:r>
    </w:p>
    <w:p w:rsidR="008C1E80" w:rsidRPr="00B869FB" w:rsidRDefault="008C1E80" w:rsidP="002774B1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Профессиональные риски должны быть оценены на каждом рабочем месте организации. Оптимальный вариант: провести оценку риска по аналогии (и на основе) </w:t>
      </w:r>
      <w:proofErr w:type="gramStart"/>
      <w:r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проведенной </w:t>
      </w:r>
      <w:r w:rsidR="00FC14D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="00FC14D4" w:rsidRPr="002774B1">
        <w:rPr>
          <w:rFonts w:ascii="Times New Roman" w:eastAsia="Times New Roman" w:hAnsi="Times New Roman" w:cs="Times New Roman"/>
          <w:color w:val="FF0000"/>
          <w:spacing w:val="6"/>
          <w:sz w:val="24"/>
          <w:szCs w:val="24"/>
          <w:u w:val="single"/>
          <w:lang w:eastAsia="ru-RU"/>
        </w:rPr>
        <w:t>специальной</w:t>
      </w:r>
      <w:proofErr w:type="gramEnd"/>
      <w:r w:rsidR="00FC14D4" w:rsidRPr="002774B1">
        <w:rPr>
          <w:rFonts w:ascii="Times New Roman" w:eastAsia="Times New Roman" w:hAnsi="Times New Roman" w:cs="Times New Roman"/>
          <w:color w:val="FF0000"/>
          <w:spacing w:val="6"/>
          <w:sz w:val="24"/>
          <w:szCs w:val="24"/>
          <w:u w:val="single"/>
          <w:lang w:eastAsia="ru-RU"/>
        </w:rPr>
        <w:t xml:space="preserve"> оценки условий труда</w:t>
      </w:r>
      <w:r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. То есть с предварительным определением аналогичных рабочих мест.</w:t>
      </w:r>
    </w:p>
    <w:p w:rsidR="008C1E80" w:rsidRPr="00B869FB" w:rsidRDefault="008C1E80" w:rsidP="00310D89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>9</w:t>
      </w:r>
      <w:r w:rsidR="00310D89"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 xml:space="preserve">. </w:t>
      </w:r>
      <w:r w:rsidRPr="00B869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оформить оценку профессиональных рисков?</w:t>
      </w:r>
    </w:p>
    <w:p w:rsidR="008C1E80" w:rsidRPr="00B869FB" w:rsidRDefault="008C1E80" w:rsidP="002774B1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Оформление результатов оценки профессиональных рисков законодательно не регламентировано. Однако из всей документации должно быть понятно: по какой методике проводилась оценка рисков, кто входил в состав экспертной группы, какие опасности были идентифицированы и какой уровень рисков присвоен каждому рабочему месту. Также желательны</w:t>
      </w:r>
      <w:r w:rsidR="00FC14D4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 </w:t>
      </w:r>
      <w:r w:rsidR="00FC14D4" w:rsidRPr="002774B1">
        <w:rPr>
          <w:rFonts w:ascii="Times New Roman" w:eastAsia="Times New Roman" w:hAnsi="Times New Roman" w:cs="Times New Roman"/>
          <w:color w:val="FF0000"/>
          <w:spacing w:val="6"/>
          <w:sz w:val="24"/>
          <w:szCs w:val="24"/>
          <w:u w:val="single"/>
          <w:lang w:eastAsia="ru-RU"/>
        </w:rPr>
        <w:t>экспертные заключения</w:t>
      </w:r>
      <w:r w:rsidR="00FC14D4" w:rsidRPr="00FC14D4">
        <w:rPr>
          <w:rFonts w:ascii="Times New Roman" w:eastAsia="Times New Roman" w:hAnsi="Times New Roman" w:cs="Times New Roman"/>
          <w:color w:val="FF0000"/>
          <w:spacing w:val="6"/>
          <w:sz w:val="24"/>
          <w:szCs w:val="24"/>
          <w:lang w:eastAsia="ru-RU"/>
        </w:rPr>
        <w:t xml:space="preserve"> </w:t>
      </w:r>
      <w:r w:rsidRPr="00FC14D4">
        <w:rPr>
          <w:rFonts w:ascii="Times New Roman" w:eastAsia="Times New Roman" w:hAnsi="Times New Roman" w:cs="Times New Roman"/>
          <w:color w:val="FF0000"/>
          <w:spacing w:val="6"/>
          <w:sz w:val="24"/>
          <w:szCs w:val="24"/>
          <w:lang w:eastAsia="ru-RU"/>
        </w:rPr>
        <w:t> </w:t>
      </w:r>
      <w:hyperlink r:id="rId4" w:anchor="utm_source=blog&amp;utm_medium=post&amp;utm_campaign=otsenka-professionalnyih-riskov-kto-i-zachem-dolzhen-ee-provodit" w:history="1"/>
      <w:r w:rsidRPr="00FC14D4">
        <w:rPr>
          <w:rFonts w:ascii="Times New Roman" w:eastAsia="Times New Roman" w:hAnsi="Times New Roman" w:cs="Times New Roman"/>
          <w:color w:val="FF0000"/>
          <w:spacing w:val="6"/>
          <w:sz w:val="24"/>
          <w:szCs w:val="24"/>
          <w:lang w:eastAsia="ru-RU"/>
        </w:rPr>
        <w:t> </w:t>
      </w:r>
      <w:r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о необходимых мерах по снижению уровней профессиональных рисков работников. Напомним, что согласно ст. 212 ТК РФ работники должны быть ознакомлены с этими показателями.</w:t>
      </w:r>
    </w:p>
    <w:p w:rsidR="008C1E80" w:rsidRPr="00B869FB" w:rsidRDefault="008C1E80" w:rsidP="00310D89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>10</w:t>
      </w:r>
      <w:r w:rsidR="00310D89"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 xml:space="preserve">. </w:t>
      </w:r>
      <w:r w:rsidRPr="00B869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 мне делать с результатами оценки профессиональных рисков?</w:t>
      </w:r>
    </w:p>
    <w:p w:rsidR="008C1E80" w:rsidRPr="00B869FB" w:rsidRDefault="008C1E80" w:rsidP="002774B1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Самое правильное решение – применять риск-ориентированный подход к системе управления охраной труда организации на практике. То есть проводить мероприятия по охране труда, исходя из реальных потребностей на рабочих местах. И результаты оценки рисков в этом очень помогают.</w:t>
      </w:r>
    </w:p>
    <w:p w:rsidR="008C1E80" w:rsidRPr="00B869FB" w:rsidRDefault="008C1E80" w:rsidP="00310D89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>11</w:t>
      </w:r>
      <w:r w:rsidR="00310D89"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 xml:space="preserve">. </w:t>
      </w:r>
      <w:r w:rsidRPr="00B869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Какой срок действия оценки уровней профессиональных рисков?</w:t>
      </w:r>
    </w:p>
    <w:p w:rsidR="008C1E80" w:rsidRPr="00B869FB" w:rsidRDefault="008C1E80" w:rsidP="002774B1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Управление уровнями профессиональных рисков – одна из процедур системы управления охраной труда организации и регламентируется соответствующим локальным нормативным актом. На основании того, что деятельность организации – процесс динамический и многофакторный, выявленные опасности необходимо периодически пересматривать с учетом происходящих изменений. Если изменились опасности (появились новые, или наоборот, исчезли существующие), процедуру оценки рисков следует провести повторно.</w:t>
      </w:r>
    </w:p>
    <w:p w:rsidR="008C1E80" w:rsidRPr="00B869FB" w:rsidRDefault="008C1E80" w:rsidP="00310D89">
      <w:pPr>
        <w:shd w:val="clear" w:color="auto" w:fill="FFFFFF"/>
        <w:spacing w:before="100" w:beforeAutospacing="1" w:after="100" w:afterAutospacing="1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>12</w:t>
      </w:r>
      <w:r w:rsidR="00310D89" w:rsidRPr="00B869FB">
        <w:rPr>
          <w:rFonts w:ascii="Times New Roman" w:eastAsia="Times New Roman" w:hAnsi="Times New Roman" w:cs="Times New Roman"/>
          <w:b/>
          <w:bCs/>
          <w:color w:val="EA3646"/>
          <w:sz w:val="24"/>
          <w:szCs w:val="24"/>
          <w:lang w:eastAsia="ru-RU"/>
        </w:rPr>
        <w:t xml:space="preserve">. </w:t>
      </w:r>
      <w:r w:rsidRPr="00B869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Ответственность</w:t>
      </w:r>
    </w:p>
    <w:p w:rsidR="008C1E80" w:rsidRPr="00B869FB" w:rsidRDefault="008C1E80" w:rsidP="002774B1">
      <w:pPr>
        <w:shd w:val="clear" w:color="auto" w:fill="FFFFFF"/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</w:pPr>
      <w:r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Если работодатель не провел оценку профессиональных рисков и не ознакомил работников с их уровнями - это расценивается как нарушение государственных нормативных  требований охраны труда, содержащихся в федеральных законах и иных </w:t>
      </w:r>
      <w:bookmarkStart w:id="0" w:name="_GoBack"/>
      <w:r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 xml:space="preserve">нормативных правовых актах Российской Федерации. Согласно части 1 статьи 5.27.1 </w:t>
      </w:r>
      <w:bookmarkEnd w:id="0"/>
      <w:r w:rsidRPr="00B869FB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  <w:lang w:eastAsia="ru-RU"/>
        </w:rPr>
        <w:t>КоАП такое правонарушение влечет за собой штраф в размере 50 000 – 80 000 рублей для юридического лица.</w:t>
      </w:r>
    </w:p>
    <w:sectPr w:rsidR="008C1E80" w:rsidRPr="00B869FB" w:rsidSect="0060517D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E80"/>
    <w:rsid w:val="00264728"/>
    <w:rsid w:val="002774B1"/>
    <w:rsid w:val="00310D89"/>
    <w:rsid w:val="003829E5"/>
    <w:rsid w:val="00485754"/>
    <w:rsid w:val="0060517D"/>
    <w:rsid w:val="008C1E80"/>
    <w:rsid w:val="00941FB7"/>
    <w:rsid w:val="00971B4E"/>
    <w:rsid w:val="00B869FB"/>
    <w:rsid w:val="00C45060"/>
    <w:rsid w:val="00FC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24D64"/>
  <w15:chartTrackingRefBased/>
  <w15:docId w15:val="{CCCB3661-059E-4F3D-930F-6A7915435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3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5605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05164">
              <w:marLeft w:val="0"/>
              <w:marRight w:val="300"/>
              <w:marTop w:val="0"/>
              <w:marBottom w:val="0"/>
              <w:divBdr>
                <w:top w:val="single" w:sz="6" w:space="0" w:color="D2D2D2"/>
                <w:left w:val="single" w:sz="6" w:space="0" w:color="D2D2D2"/>
                <w:bottom w:val="single" w:sz="6" w:space="0" w:color="D2D2D2"/>
                <w:right w:val="single" w:sz="6" w:space="0" w:color="D2D2D2"/>
              </w:divBdr>
              <w:divsChild>
                <w:div w:id="3515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5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862655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992329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01109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88133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445987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85943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19553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69878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13072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5474545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27645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239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590392">
                  <w:marLeft w:val="0"/>
                  <w:marRight w:val="0"/>
                  <w:marTop w:val="0"/>
                  <w:marBottom w:val="0"/>
                  <w:divBdr>
                    <w:top w:val="single" w:sz="6" w:space="15" w:color="D2D2D2"/>
                    <w:left w:val="single" w:sz="6" w:space="15" w:color="D2D2D2"/>
                    <w:bottom w:val="single" w:sz="6" w:space="15" w:color="D2D2D2"/>
                    <w:right w:val="single" w:sz="6" w:space="15" w:color="D2D2D2"/>
                  </w:divBdr>
                </w:div>
                <w:div w:id="51780183">
                  <w:marLeft w:val="0"/>
                  <w:marRight w:val="0"/>
                  <w:marTop w:val="450"/>
                  <w:marBottom w:val="0"/>
                  <w:divBdr>
                    <w:top w:val="single" w:sz="6" w:space="15" w:color="D2D2D2"/>
                    <w:left w:val="single" w:sz="6" w:space="15" w:color="D2D2D2"/>
                    <w:bottom w:val="single" w:sz="6" w:space="15" w:color="D2D2D2"/>
                    <w:right w:val="single" w:sz="6" w:space="15" w:color="D2D2D2"/>
                  </w:divBdr>
                </w:div>
                <w:div w:id="94445682">
                  <w:marLeft w:val="0"/>
                  <w:marRight w:val="0"/>
                  <w:marTop w:val="450"/>
                  <w:marBottom w:val="0"/>
                  <w:divBdr>
                    <w:top w:val="single" w:sz="6" w:space="15" w:color="D2D2D2"/>
                    <w:left w:val="single" w:sz="6" w:space="15" w:color="D2D2D2"/>
                    <w:bottom w:val="single" w:sz="6" w:space="15" w:color="D2D2D2"/>
                    <w:right w:val="single" w:sz="6" w:space="15" w:color="D2D2D2"/>
                  </w:divBdr>
                </w:div>
                <w:div w:id="896742859">
                  <w:marLeft w:val="0"/>
                  <w:marRight w:val="0"/>
                  <w:marTop w:val="450"/>
                  <w:marBottom w:val="0"/>
                  <w:divBdr>
                    <w:top w:val="single" w:sz="6" w:space="15" w:color="D2D2D2"/>
                    <w:left w:val="single" w:sz="6" w:space="15" w:color="D2D2D2"/>
                    <w:bottom w:val="single" w:sz="6" w:space="15" w:color="D2D2D2"/>
                    <w:right w:val="single" w:sz="6" w:space="15" w:color="D2D2D2"/>
                  </w:divBdr>
                </w:div>
                <w:div w:id="1203441093">
                  <w:marLeft w:val="0"/>
                  <w:marRight w:val="0"/>
                  <w:marTop w:val="450"/>
                  <w:marBottom w:val="0"/>
                  <w:divBdr>
                    <w:top w:val="single" w:sz="6" w:space="15" w:color="D2D2D2"/>
                    <w:left w:val="single" w:sz="6" w:space="15" w:color="D2D2D2"/>
                    <w:bottom w:val="single" w:sz="6" w:space="15" w:color="D2D2D2"/>
                    <w:right w:val="single" w:sz="6" w:space="15" w:color="D2D2D2"/>
                  </w:divBdr>
                </w:div>
                <w:div w:id="1461529111">
                  <w:marLeft w:val="0"/>
                  <w:marRight w:val="0"/>
                  <w:marTop w:val="450"/>
                  <w:marBottom w:val="0"/>
                  <w:divBdr>
                    <w:top w:val="single" w:sz="6" w:space="15" w:color="D2D2D2"/>
                    <w:left w:val="single" w:sz="6" w:space="15" w:color="D2D2D2"/>
                    <w:bottom w:val="single" w:sz="6" w:space="15" w:color="D2D2D2"/>
                    <w:right w:val="single" w:sz="6" w:space="15" w:color="D2D2D2"/>
                  </w:divBdr>
                </w:div>
                <w:div w:id="1324772388">
                  <w:marLeft w:val="0"/>
                  <w:marRight w:val="0"/>
                  <w:marTop w:val="450"/>
                  <w:marBottom w:val="0"/>
                  <w:divBdr>
                    <w:top w:val="single" w:sz="6" w:space="15" w:color="D2D2D2"/>
                    <w:left w:val="single" w:sz="6" w:space="15" w:color="D2D2D2"/>
                    <w:bottom w:val="single" w:sz="6" w:space="15" w:color="D2D2D2"/>
                    <w:right w:val="single" w:sz="6" w:space="15" w:color="D2D2D2"/>
                  </w:divBdr>
                </w:div>
                <w:div w:id="1033922381">
                  <w:marLeft w:val="0"/>
                  <w:marRight w:val="0"/>
                  <w:marTop w:val="450"/>
                  <w:marBottom w:val="0"/>
                  <w:divBdr>
                    <w:top w:val="single" w:sz="6" w:space="15" w:color="D2D2D2"/>
                    <w:left w:val="single" w:sz="6" w:space="15" w:color="D2D2D2"/>
                    <w:bottom w:val="single" w:sz="6" w:space="15" w:color="D2D2D2"/>
                    <w:right w:val="single" w:sz="6" w:space="15" w:color="D2D2D2"/>
                  </w:divBdr>
                </w:div>
                <w:div w:id="562717880">
                  <w:marLeft w:val="0"/>
                  <w:marRight w:val="0"/>
                  <w:marTop w:val="450"/>
                  <w:marBottom w:val="0"/>
                  <w:divBdr>
                    <w:top w:val="single" w:sz="6" w:space="15" w:color="D2D2D2"/>
                    <w:left w:val="single" w:sz="6" w:space="15" w:color="D2D2D2"/>
                    <w:bottom w:val="single" w:sz="6" w:space="15" w:color="D2D2D2"/>
                    <w:right w:val="single" w:sz="6" w:space="15" w:color="D2D2D2"/>
                  </w:divBdr>
                </w:div>
                <w:div w:id="515048077">
                  <w:marLeft w:val="0"/>
                  <w:marRight w:val="0"/>
                  <w:marTop w:val="450"/>
                  <w:marBottom w:val="0"/>
                  <w:divBdr>
                    <w:top w:val="single" w:sz="6" w:space="15" w:color="D2D2D2"/>
                    <w:left w:val="single" w:sz="6" w:space="15" w:color="D2D2D2"/>
                    <w:bottom w:val="single" w:sz="6" w:space="15" w:color="D2D2D2"/>
                    <w:right w:val="single" w:sz="6" w:space="15" w:color="D2D2D2"/>
                  </w:divBdr>
                </w:div>
                <w:div w:id="1763843322">
                  <w:marLeft w:val="0"/>
                  <w:marRight w:val="0"/>
                  <w:marTop w:val="450"/>
                  <w:marBottom w:val="0"/>
                  <w:divBdr>
                    <w:top w:val="single" w:sz="6" w:space="15" w:color="D2D2D2"/>
                    <w:left w:val="single" w:sz="6" w:space="15" w:color="D2D2D2"/>
                    <w:bottom w:val="single" w:sz="6" w:space="15" w:color="D2D2D2"/>
                    <w:right w:val="single" w:sz="6" w:space="15" w:color="D2D2D2"/>
                  </w:divBdr>
                </w:div>
                <w:div w:id="1135102226">
                  <w:marLeft w:val="0"/>
                  <w:marRight w:val="0"/>
                  <w:marTop w:val="450"/>
                  <w:marBottom w:val="0"/>
                  <w:divBdr>
                    <w:top w:val="single" w:sz="6" w:space="15" w:color="D2D2D2"/>
                    <w:left w:val="single" w:sz="6" w:space="15" w:color="D2D2D2"/>
                    <w:bottom w:val="single" w:sz="6" w:space="15" w:color="D2D2D2"/>
                    <w:right w:val="single" w:sz="6" w:space="15" w:color="D2D2D2"/>
                  </w:divBdr>
                </w:div>
              </w:divsChild>
            </w:div>
          </w:divsChild>
        </w:div>
        <w:div w:id="191457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nitalm.ru/service/professional-risk-assessme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2</Pages>
  <Words>886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11</cp:revision>
  <dcterms:created xsi:type="dcterms:W3CDTF">2021-01-20T02:01:00Z</dcterms:created>
  <dcterms:modified xsi:type="dcterms:W3CDTF">2022-08-30T05:31:00Z</dcterms:modified>
</cp:coreProperties>
</file>