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DBA41">
      <w:pPr>
        <w:shd w:val="clear" w:color="auto" w:fill="FFFFFF"/>
        <w:jc w:val="center"/>
      </w:pPr>
      <w:r>
        <w:drawing>
          <wp:inline distT="0" distB="0" distL="0" distR="0">
            <wp:extent cx="641985" cy="90868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3" t="-16" r="-23" b="-1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560" cy="3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15pt;width:108.35pt;mso-position-horizontal-relative:page;z-index:251659264;mso-width-relative:page;mso-height-relative:page;" fillcolor="#FFFFFF" filled="t" stroked="f" coordsize="21600,21600" o:gfxdata="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cDtT8dkAAAAKAQAADwAAAAAAAAABACAAAAAiAAAAZHJzL2Rvd25yZXYueG1sUEsBAhQAFAAAAAgA&#10;h07iQBXVtZyyAQAAWAMAAA4AAAAAAAAAAQAgAAAAKAEAAGRycy9lMm9Eb2MueG1sUEsFBgAAAAAG&#10;AAYAWQEAAE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3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045" cy="37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973941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93980" tIns="48260" rIns="93980" bIns="482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1" o:spid="_x0000_s1026" o:spt="202" type="#_x0000_t202" style="position:absolute;left:0pt;margin-left:382.7pt;margin-top:-13.5pt;height:29.15pt;width:108.35pt;mso-position-horizontal-relative:page;z-index:251659264;mso-width-relative:page;mso-height-relative:page;" filled="f" stroked="f" coordsize="21600,21600" o:gfxdata="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wn8UZtkAAAAKAQAADwAAAAAAAAABACAAAAAiAAAAZHJzL2Rvd25y&#10;ZXYueG1sUEsBAhQAFAAAAAgAh07iQOPgzxzEAQAAegMAAA4AAAAAAAAAAQAgAAAAKA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7.4pt,3.8pt,7.4pt,3.8pt">
                  <w:txbxContent>
                    <w:p w14:paraId="42973941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8F33B8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2DBFE719">
      <w:pPr>
        <w:pStyle w:val="5"/>
        <w:jc w:val="center"/>
      </w:pPr>
      <w:r>
        <w:rPr>
          <w:sz w:val="32"/>
        </w:rPr>
        <w:t>АДМИНИСТРАЦИЯ</w:t>
      </w:r>
    </w:p>
    <w:p w14:paraId="284D5863">
      <w:pPr>
        <w:pStyle w:val="5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361167F9">
      <w:pPr>
        <w:pStyle w:val="5"/>
        <w:jc w:val="center"/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54CE96A5">
      <w:pPr>
        <w:shd w:val="clear" w:color="auto" w:fill="FFFFFF"/>
        <w:rPr>
          <w:sz w:val="16"/>
        </w:rPr>
      </w:pPr>
    </w:p>
    <w:p w14:paraId="147613F5">
      <w:pPr>
        <w:pStyle w:val="2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 w14:paraId="10E85395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3BDB29BC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61DCEA63">
      <w:pPr>
        <w:shd w:val="clear" w:color="auto" w:fill="FFFFFF"/>
        <w:rPr>
          <w:rFonts w:hint="default"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    </w:t>
      </w:r>
      <w:r>
        <w:rPr>
          <w:rFonts w:hint="default"/>
          <w:color w:val="000000"/>
          <w:sz w:val="28"/>
          <w:szCs w:val="28"/>
          <w:lang w:val="ru-RU"/>
        </w:rPr>
        <w:t>21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январ</w:t>
      </w:r>
      <w:r>
        <w:rPr>
          <w:color w:val="000000"/>
          <w:sz w:val="28"/>
          <w:szCs w:val="28"/>
        </w:rPr>
        <w:t>я 202</w:t>
      </w:r>
      <w:r>
        <w:rPr>
          <w:rFonts w:hint="default"/>
          <w:color w:val="000000"/>
          <w:sz w:val="28"/>
          <w:szCs w:val="28"/>
          <w:lang w:val="ru-RU"/>
        </w:rPr>
        <w:t>6</w:t>
      </w:r>
      <w:r>
        <w:rPr>
          <w:color w:val="000000"/>
          <w:sz w:val="28"/>
          <w:szCs w:val="28"/>
        </w:rPr>
        <w:t xml:space="preserve"> года</w:t>
      </w:r>
      <w:r>
        <w:rPr>
          <w:rFonts w:ascii="Arial" w:hAnsi="Arial" w:cs="Arial"/>
          <w:color w:val="000000"/>
          <w:sz w:val="28"/>
          <w:szCs w:val="28"/>
        </w:rPr>
        <w:t xml:space="preserve">               </w:t>
      </w:r>
      <w:r>
        <w:rPr>
          <w:rFonts w:cs="Arial"/>
          <w:color w:val="000000"/>
          <w:sz w:val="28"/>
          <w:szCs w:val="28"/>
        </w:rPr>
        <w:t xml:space="preserve"> с. Анучино 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    </w:t>
      </w:r>
      <w:r>
        <w:rPr>
          <w:rFonts w:hint="default" w:ascii="Arial" w:hAnsi="Arial" w:cs="Arial"/>
          <w:color w:val="000000"/>
          <w:sz w:val="28"/>
          <w:szCs w:val="28"/>
          <w:lang w:val="ru-RU"/>
        </w:rPr>
        <w:t xml:space="preserve">         </w:t>
      </w:r>
      <w:bookmarkStart w:id="0" w:name="_GoBack"/>
      <w:bookmarkEnd w:id="0"/>
      <w:r>
        <w:rPr>
          <w:rFonts w:ascii="Arial" w:hAnsi="Arial" w:cs="Arial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№ </w:t>
      </w:r>
      <w:r>
        <w:rPr>
          <w:rFonts w:hint="default"/>
          <w:color w:val="000000"/>
          <w:sz w:val="28"/>
          <w:szCs w:val="28"/>
          <w:lang w:val="ru-RU"/>
        </w:rPr>
        <w:t>28 - ра</w:t>
      </w:r>
    </w:p>
    <w:p w14:paraId="0276C813">
      <w:pPr>
        <w:shd w:val="clear" w:color="auto" w:fill="FFFFFF"/>
      </w:pPr>
    </w:p>
    <w:p w14:paraId="7318B0AD">
      <w:pPr>
        <w:jc w:val="both"/>
        <w:rPr>
          <w:color w:val="000000"/>
          <w:sz w:val="16"/>
          <w:szCs w:val="16"/>
          <w:u w:val="single"/>
        </w:rPr>
      </w:pPr>
    </w:p>
    <w:p w14:paraId="153EDF73">
      <w:pPr>
        <w:jc w:val="center"/>
      </w:pPr>
      <w:r>
        <w:rPr>
          <w:rStyle w:val="11"/>
          <w:color w:val="333333"/>
          <w:sz w:val="28"/>
          <w:szCs w:val="28"/>
        </w:rPr>
        <w:t>Об утверждении карты комплаенс-рисков нарушения антимонопольного законодательства в администрации Анучинского муниципального округа Приморского края на 202</w:t>
      </w:r>
      <w:r>
        <w:rPr>
          <w:rStyle w:val="11"/>
          <w:rFonts w:hint="default"/>
          <w:color w:val="333333"/>
          <w:sz w:val="28"/>
          <w:szCs w:val="28"/>
          <w:lang w:val="en-US"/>
        </w:rPr>
        <w:t>6</w:t>
      </w:r>
      <w:r>
        <w:rPr>
          <w:rStyle w:val="11"/>
          <w:color w:val="333333"/>
          <w:sz w:val="28"/>
          <w:szCs w:val="28"/>
        </w:rPr>
        <w:t xml:space="preserve"> год</w:t>
      </w:r>
    </w:p>
    <w:p w14:paraId="280F0955">
      <w:pPr>
        <w:jc w:val="center"/>
        <w:rPr>
          <w:b/>
          <w:bCs/>
          <w:color w:val="000000"/>
          <w:sz w:val="28"/>
          <w:szCs w:val="28"/>
        </w:rPr>
      </w:pPr>
    </w:p>
    <w:p w14:paraId="63E5D173">
      <w:pPr>
        <w:spacing w:line="360" w:lineRule="auto"/>
        <w:jc w:val="both"/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округа Приморского края от 22.02.2021 года № 34 «Об организации системы внутреннего обеспечения </w:t>
      </w:r>
      <w:r>
        <w:rPr>
          <w:sz w:val="28"/>
          <w:szCs w:val="28"/>
        </w:rPr>
        <w:t xml:space="preserve">соответствия требованиям антимонопольного законодательства в администрации Анучинского муниципального округа Приморского края», </w:t>
      </w:r>
    </w:p>
    <w:p w14:paraId="02A1253D">
      <w:pPr>
        <w:spacing w:line="360" w:lineRule="auto"/>
        <w:jc w:val="both"/>
        <w:rPr>
          <w:sz w:val="28"/>
          <w:szCs w:val="28"/>
        </w:rPr>
      </w:pPr>
    </w:p>
    <w:p w14:paraId="7B1E3D52">
      <w:pPr>
        <w:spacing w:line="360" w:lineRule="auto"/>
        <w:ind w:firstLine="567"/>
        <w:jc w:val="both"/>
      </w:pPr>
      <w:r>
        <w:rPr>
          <w:sz w:val="28"/>
          <w:szCs w:val="28"/>
        </w:rPr>
        <w:t>1. Утвердить карту комплаенс-рисков администрации Анучинского муниципального округа, согласно приложению.</w:t>
      </w:r>
    </w:p>
    <w:p w14:paraId="52235A6B">
      <w:pPr>
        <w:pStyle w:val="16"/>
        <w:spacing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Аппарату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округа разместить настоящее распоряжение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разместить на официальном сайте администрации Анучинского муниципального округа, в информационно-телекоммуникационной сети Интернет.</w:t>
      </w:r>
    </w:p>
    <w:p w14:paraId="31508D5E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14:paraId="7A4C2876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6B9247C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0B79C095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480DC80A">
      <w:pPr>
        <w:pStyle w:val="9"/>
        <w:spacing w:before="0" w:after="0"/>
        <w:jc w:val="both"/>
        <w:rPr>
          <w:bCs/>
        </w:rPr>
      </w:pPr>
      <w:r>
        <w:rPr>
          <w:bCs/>
          <w:lang w:val="ru-RU"/>
        </w:rPr>
        <w:t>Г</w:t>
      </w:r>
      <w:r>
        <w:rPr>
          <w:bCs/>
        </w:rPr>
        <w:t>лав</w:t>
      </w:r>
      <w:r>
        <w:rPr>
          <w:bCs/>
          <w:lang w:val="ru-RU"/>
        </w:rPr>
        <w:t>а</w:t>
      </w:r>
      <w:r>
        <w:rPr>
          <w:bCs/>
        </w:rPr>
        <w:t xml:space="preserve"> Анучинского </w:t>
      </w:r>
    </w:p>
    <w:p w14:paraId="47235EFE">
      <w:pPr>
        <w:pStyle w:val="9"/>
        <w:spacing w:before="0" w:after="0"/>
        <w:jc w:val="both"/>
        <w:rPr>
          <w:rFonts w:hint="default"/>
          <w:lang w:val="ru-RU"/>
        </w:rPr>
      </w:pPr>
      <w:r>
        <w:rPr>
          <w:bCs/>
        </w:rPr>
        <w:t xml:space="preserve">муниципального округа                                                </w:t>
      </w:r>
      <w:r>
        <w:rPr>
          <w:rFonts w:hint="default"/>
          <w:bCs/>
          <w:lang w:val="ru-RU"/>
        </w:rPr>
        <w:t xml:space="preserve">                     </w:t>
      </w:r>
      <w:r>
        <w:rPr>
          <w:bCs/>
        </w:rPr>
        <w:t xml:space="preserve"> </w:t>
      </w:r>
      <w:r>
        <w:rPr>
          <w:bCs/>
          <w:lang w:val="ru-RU"/>
        </w:rPr>
        <w:t>А</w:t>
      </w:r>
      <w:r>
        <w:rPr>
          <w:rFonts w:hint="default"/>
          <w:bCs/>
          <w:lang w:val="ru-RU"/>
        </w:rPr>
        <w:t xml:space="preserve">.Я. Янчук </w:t>
      </w:r>
    </w:p>
    <w:p w14:paraId="3300168F">
      <w:pPr>
        <w:pStyle w:val="9"/>
        <w:rPr>
          <w:b/>
          <w:bCs/>
        </w:rPr>
      </w:pPr>
    </w:p>
    <w:p w14:paraId="256E2F16">
      <w:pPr>
        <w:jc w:val="center"/>
        <w:rPr>
          <w:b/>
          <w:bCs/>
          <w:color w:val="000000"/>
          <w:sz w:val="18"/>
          <w:szCs w:val="28"/>
        </w:rPr>
      </w:pPr>
    </w:p>
    <w:p w14:paraId="0F112F3E">
      <w:pPr>
        <w:jc w:val="center"/>
        <w:rPr>
          <w:b/>
          <w:bCs/>
          <w:color w:val="000000"/>
          <w:sz w:val="18"/>
          <w:szCs w:val="28"/>
        </w:rPr>
      </w:pPr>
    </w:p>
    <w:p w14:paraId="214E259B">
      <w:pPr>
        <w:jc w:val="center"/>
        <w:rPr>
          <w:b/>
          <w:bCs/>
          <w:color w:val="000000"/>
          <w:sz w:val="18"/>
          <w:szCs w:val="28"/>
        </w:rPr>
      </w:pPr>
    </w:p>
    <w:p w14:paraId="4E057B1B">
      <w:pPr>
        <w:jc w:val="center"/>
        <w:rPr>
          <w:b/>
          <w:color w:val="000000"/>
          <w:sz w:val="18"/>
          <w:szCs w:val="28"/>
        </w:rPr>
      </w:pPr>
    </w:p>
    <w:p w14:paraId="4350A5CE">
      <w:pPr>
        <w:jc w:val="center"/>
        <w:rPr>
          <w:color w:val="000000"/>
          <w:sz w:val="18"/>
        </w:rPr>
      </w:pPr>
    </w:p>
    <w:p w14:paraId="07F5B85D">
      <w:pPr>
        <w:jc w:val="center"/>
        <w:rPr>
          <w:color w:val="000000"/>
          <w:sz w:val="18"/>
        </w:rPr>
      </w:pPr>
    </w:p>
    <w:p w14:paraId="78AE8A2B">
      <w:pPr>
        <w:shd w:val="clear" w:color="auto" w:fill="FFFFFF"/>
        <w:jc w:val="center"/>
        <w:rPr>
          <w:color w:val="000000"/>
          <w:sz w:val="18"/>
        </w:rPr>
      </w:pPr>
    </w:p>
    <w:p w14:paraId="5AF79146">
      <w:pPr>
        <w:shd w:val="clear" w:color="auto" w:fill="FFFFFF"/>
        <w:jc w:val="center"/>
        <w:rPr>
          <w:color w:val="000000"/>
          <w:sz w:val="18"/>
        </w:rPr>
      </w:pPr>
    </w:p>
    <w:p w14:paraId="668D1BCB">
      <w:pPr>
        <w:shd w:val="clear" w:color="auto" w:fill="FFFFFF"/>
        <w:jc w:val="center"/>
        <w:rPr>
          <w:color w:val="000000"/>
          <w:sz w:val="18"/>
        </w:rPr>
      </w:pPr>
    </w:p>
    <w:p w14:paraId="4E703421">
      <w:pPr>
        <w:shd w:val="clear" w:color="auto" w:fill="FFFFFF"/>
        <w:jc w:val="center"/>
        <w:rPr>
          <w:color w:val="000000"/>
          <w:sz w:val="18"/>
        </w:rPr>
      </w:pPr>
    </w:p>
    <w:p w14:paraId="418CB9B8">
      <w:pPr>
        <w:shd w:val="clear" w:color="auto" w:fill="FFFFFF"/>
        <w:jc w:val="center"/>
        <w:rPr>
          <w:color w:val="000000"/>
          <w:sz w:val="18"/>
        </w:rPr>
      </w:pPr>
    </w:p>
    <w:p w14:paraId="4EBD989E">
      <w:pPr>
        <w:shd w:val="clear" w:color="auto" w:fill="FFFFFF"/>
        <w:jc w:val="center"/>
        <w:rPr>
          <w:color w:val="000000"/>
          <w:sz w:val="18"/>
        </w:rPr>
      </w:pPr>
    </w:p>
    <w:p w14:paraId="5A94B7E5">
      <w:pPr>
        <w:shd w:val="clear" w:color="auto" w:fill="FFFFFF"/>
        <w:jc w:val="center"/>
        <w:rPr>
          <w:color w:val="000000"/>
          <w:sz w:val="18"/>
        </w:rPr>
      </w:pPr>
    </w:p>
    <w:p w14:paraId="165FA582">
      <w:pPr>
        <w:shd w:val="clear" w:color="auto" w:fill="FFFFFF"/>
        <w:jc w:val="center"/>
        <w:rPr>
          <w:color w:val="000000"/>
          <w:sz w:val="18"/>
        </w:rPr>
      </w:pPr>
    </w:p>
    <w:p w14:paraId="6E5D337B">
      <w:pPr>
        <w:shd w:val="clear" w:color="auto" w:fill="FFFFFF"/>
        <w:jc w:val="center"/>
        <w:rPr>
          <w:color w:val="000000"/>
          <w:sz w:val="18"/>
        </w:rPr>
      </w:pPr>
    </w:p>
    <w:p w14:paraId="088CEBED">
      <w:pPr>
        <w:shd w:val="clear" w:color="auto" w:fill="FFFFFF"/>
        <w:jc w:val="center"/>
        <w:rPr>
          <w:color w:val="000000"/>
          <w:sz w:val="18"/>
        </w:rPr>
      </w:pPr>
    </w:p>
    <w:p w14:paraId="2143887D">
      <w:pPr>
        <w:shd w:val="clear" w:color="auto" w:fill="FFFFFF"/>
        <w:jc w:val="center"/>
        <w:rPr>
          <w:color w:val="000000"/>
          <w:sz w:val="18"/>
        </w:rPr>
      </w:pPr>
    </w:p>
    <w:p w14:paraId="36D7EF63">
      <w:pPr>
        <w:shd w:val="clear" w:color="auto" w:fill="FFFFFF"/>
        <w:jc w:val="center"/>
        <w:rPr>
          <w:color w:val="000000"/>
          <w:sz w:val="18"/>
        </w:rPr>
      </w:pPr>
    </w:p>
    <w:p w14:paraId="150789DA">
      <w:pPr>
        <w:shd w:val="clear" w:color="auto" w:fill="FFFFFF"/>
        <w:jc w:val="center"/>
        <w:rPr>
          <w:color w:val="000000"/>
          <w:sz w:val="18"/>
        </w:rPr>
      </w:pPr>
    </w:p>
    <w:p w14:paraId="5D401E5A">
      <w:pPr>
        <w:shd w:val="clear" w:color="auto" w:fill="FFFFFF"/>
        <w:jc w:val="center"/>
        <w:rPr>
          <w:color w:val="000000"/>
          <w:sz w:val="18"/>
        </w:rPr>
      </w:pPr>
    </w:p>
    <w:p w14:paraId="7FD93856">
      <w:pPr>
        <w:shd w:val="clear" w:color="auto" w:fill="FFFFFF"/>
        <w:jc w:val="center"/>
        <w:rPr>
          <w:color w:val="000000"/>
          <w:sz w:val="18"/>
        </w:rPr>
      </w:pPr>
    </w:p>
    <w:p w14:paraId="4B532CAF">
      <w:pPr>
        <w:shd w:val="clear" w:color="auto" w:fill="FFFFFF"/>
        <w:jc w:val="center"/>
        <w:rPr>
          <w:color w:val="000000"/>
          <w:sz w:val="18"/>
        </w:rPr>
      </w:pPr>
    </w:p>
    <w:p w14:paraId="50E60FB6">
      <w:pPr>
        <w:shd w:val="clear" w:color="auto" w:fill="FFFFFF"/>
        <w:jc w:val="center"/>
        <w:rPr>
          <w:color w:val="000000"/>
          <w:sz w:val="18"/>
        </w:rPr>
      </w:pPr>
    </w:p>
    <w:p w14:paraId="24F5A6AA">
      <w:pPr>
        <w:shd w:val="clear" w:color="auto" w:fill="FFFFFF"/>
        <w:jc w:val="center"/>
        <w:rPr>
          <w:color w:val="000000"/>
          <w:sz w:val="18"/>
        </w:rPr>
      </w:pPr>
    </w:p>
    <w:p w14:paraId="7F0790A9">
      <w:pPr>
        <w:shd w:val="clear" w:color="auto" w:fill="FFFFFF"/>
        <w:jc w:val="center"/>
        <w:rPr>
          <w:color w:val="000000"/>
          <w:sz w:val="18"/>
        </w:rPr>
      </w:pPr>
    </w:p>
    <w:p w14:paraId="6045997B">
      <w:pPr>
        <w:shd w:val="clear" w:color="auto" w:fill="FFFFFF"/>
        <w:jc w:val="center"/>
        <w:rPr>
          <w:color w:val="000000"/>
          <w:sz w:val="18"/>
        </w:rPr>
      </w:pPr>
    </w:p>
    <w:p w14:paraId="691DE7B6">
      <w:pPr>
        <w:shd w:val="clear" w:color="auto" w:fill="FFFFFF"/>
        <w:jc w:val="center"/>
        <w:rPr>
          <w:color w:val="000000"/>
          <w:sz w:val="18"/>
        </w:rPr>
      </w:pPr>
    </w:p>
    <w:p w14:paraId="3B4F1DC4">
      <w:pPr>
        <w:shd w:val="clear" w:color="auto" w:fill="FFFFFF"/>
        <w:jc w:val="center"/>
        <w:rPr>
          <w:color w:val="000000"/>
          <w:sz w:val="18"/>
        </w:rPr>
      </w:pPr>
    </w:p>
    <w:p w14:paraId="6535AA37">
      <w:pPr>
        <w:shd w:val="clear" w:color="auto" w:fill="FFFFFF"/>
        <w:jc w:val="center"/>
        <w:rPr>
          <w:color w:val="000000"/>
          <w:sz w:val="18"/>
        </w:rPr>
      </w:pPr>
    </w:p>
    <w:p w14:paraId="56CFDACB">
      <w:pPr>
        <w:shd w:val="clear" w:color="auto" w:fill="FFFFFF"/>
        <w:jc w:val="center"/>
        <w:rPr>
          <w:color w:val="000000"/>
          <w:sz w:val="18"/>
        </w:rPr>
      </w:pPr>
    </w:p>
    <w:p w14:paraId="17F754C0">
      <w:pPr>
        <w:shd w:val="clear" w:color="auto" w:fill="FFFFFF"/>
        <w:jc w:val="center"/>
        <w:rPr>
          <w:color w:val="000000"/>
          <w:sz w:val="18"/>
        </w:rPr>
      </w:pPr>
    </w:p>
    <w:p w14:paraId="3BBB18EB">
      <w:pPr>
        <w:shd w:val="clear" w:color="auto" w:fill="FFFFFF"/>
        <w:jc w:val="center"/>
        <w:rPr>
          <w:color w:val="000000"/>
          <w:sz w:val="18"/>
        </w:rPr>
      </w:pPr>
    </w:p>
    <w:p w14:paraId="0B5E9D6C">
      <w:pPr>
        <w:shd w:val="clear" w:color="auto" w:fill="FFFFFF"/>
        <w:jc w:val="center"/>
        <w:rPr>
          <w:color w:val="000000"/>
          <w:sz w:val="18"/>
        </w:rPr>
      </w:pPr>
    </w:p>
    <w:p w14:paraId="7F097D47">
      <w:pPr>
        <w:shd w:val="clear" w:color="auto" w:fill="FFFFFF"/>
        <w:jc w:val="center"/>
        <w:rPr>
          <w:color w:val="000000"/>
          <w:sz w:val="18"/>
        </w:rPr>
      </w:pPr>
    </w:p>
    <w:p w14:paraId="2A17FD56">
      <w:pPr>
        <w:shd w:val="clear" w:color="auto" w:fill="FFFFFF"/>
        <w:jc w:val="center"/>
        <w:rPr>
          <w:color w:val="000000"/>
          <w:sz w:val="18"/>
        </w:rPr>
      </w:pPr>
    </w:p>
    <w:p w14:paraId="755E9F7C">
      <w:pPr>
        <w:shd w:val="clear" w:color="auto" w:fill="FFFFFF"/>
        <w:jc w:val="center"/>
        <w:rPr>
          <w:color w:val="000000"/>
          <w:sz w:val="18"/>
        </w:rPr>
      </w:pPr>
    </w:p>
    <w:p w14:paraId="4A1950AE">
      <w:pPr>
        <w:shd w:val="clear" w:color="auto" w:fill="FFFFFF"/>
        <w:jc w:val="center"/>
        <w:rPr>
          <w:color w:val="000000"/>
          <w:sz w:val="18"/>
        </w:rPr>
      </w:pPr>
    </w:p>
    <w:p w14:paraId="48390E22">
      <w:pPr>
        <w:shd w:val="clear" w:color="auto" w:fill="FFFFFF"/>
        <w:jc w:val="center"/>
        <w:rPr>
          <w:color w:val="000000"/>
          <w:sz w:val="18"/>
        </w:rPr>
      </w:pPr>
    </w:p>
    <w:p w14:paraId="4FE00FE8">
      <w:pPr>
        <w:shd w:val="clear" w:color="auto" w:fill="FFFFFF"/>
        <w:jc w:val="center"/>
        <w:rPr>
          <w:color w:val="000000"/>
          <w:sz w:val="18"/>
        </w:rPr>
      </w:pPr>
    </w:p>
    <w:p w14:paraId="61CF2426">
      <w:pPr>
        <w:shd w:val="clear" w:color="auto" w:fill="FFFFFF"/>
        <w:jc w:val="center"/>
        <w:rPr>
          <w:color w:val="000000"/>
          <w:sz w:val="18"/>
        </w:rPr>
      </w:pPr>
    </w:p>
    <w:p w14:paraId="62AAC315">
      <w:pPr>
        <w:shd w:val="clear" w:color="auto" w:fill="FFFFFF"/>
        <w:jc w:val="center"/>
        <w:rPr>
          <w:color w:val="000000"/>
          <w:sz w:val="18"/>
        </w:rPr>
      </w:pPr>
    </w:p>
    <w:p w14:paraId="4C0AF171">
      <w:pPr>
        <w:shd w:val="clear" w:color="auto" w:fill="FFFFFF"/>
        <w:jc w:val="center"/>
        <w:rPr>
          <w:color w:val="000000"/>
          <w:sz w:val="18"/>
        </w:rPr>
      </w:pPr>
    </w:p>
    <w:p w14:paraId="5ADD5CB5">
      <w:pPr>
        <w:shd w:val="clear" w:color="auto" w:fill="FFFFFF"/>
        <w:jc w:val="center"/>
        <w:rPr>
          <w:color w:val="000000"/>
          <w:sz w:val="18"/>
        </w:rPr>
      </w:pPr>
    </w:p>
    <w:p w14:paraId="793A71BA">
      <w:pPr>
        <w:shd w:val="clear" w:color="auto" w:fill="FFFFFF"/>
        <w:jc w:val="center"/>
        <w:rPr>
          <w:color w:val="000000"/>
          <w:sz w:val="18"/>
        </w:rPr>
      </w:pPr>
    </w:p>
    <w:p w14:paraId="5229F4F0">
      <w:pPr>
        <w:shd w:val="clear" w:color="auto" w:fill="FFFFFF"/>
        <w:jc w:val="both"/>
        <w:rPr>
          <w:color w:val="000000"/>
          <w:sz w:val="18"/>
        </w:rPr>
      </w:pPr>
    </w:p>
    <w:p w14:paraId="2EA68B82">
      <w:pPr>
        <w:shd w:val="clear" w:color="auto" w:fill="FFFFFF"/>
        <w:jc w:val="both"/>
        <w:rPr>
          <w:color w:val="000000"/>
          <w:sz w:val="18"/>
        </w:rPr>
      </w:pPr>
    </w:p>
    <w:p w14:paraId="4642B86B">
      <w:pPr>
        <w:shd w:val="clear" w:color="auto" w:fill="FFFFFF"/>
        <w:jc w:val="both"/>
        <w:rPr>
          <w:color w:val="000000"/>
          <w:sz w:val="18"/>
        </w:rPr>
      </w:pPr>
    </w:p>
    <w:p w14:paraId="08A9B193">
      <w:pPr>
        <w:shd w:val="clear" w:color="auto" w:fill="FFFFFF"/>
        <w:jc w:val="both"/>
        <w:rPr>
          <w:color w:val="000000"/>
          <w:sz w:val="18"/>
        </w:rPr>
      </w:pPr>
    </w:p>
    <w:p w14:paraId="710DF990">
      <w:pPr>
        <w:shd w:val="clear" w:color="auto" w:fill="FFFFFF"/>
        <w:spacing w:after="150"/>
        <w:jc w:val="both"/>
        <w:rPr>
          <w:rStyle w:val="11"/>
          <w:color w:val="000000"/>
          <w:sz w:val="18"/>
          <w:szCs w:val="28"/>
        </w:rPr>
      </w:pPr>
    </w:p>
    <w:p w14:paraId="12D9FEF4">
      <w:pPr>
        <w:jc w:val="right"/>
      </w:pPr>
      <w:r>
        <w:t>Приложение</w:t>
      </w:r>
    </w:p>
    <w:p w14:paraId="5016A11E">
      <w:pPr>
        <w:jc w:val="right"/>
      </w:pPr>
      <w:r>
        <w:t>к распоряжению администрации</w:t>
      </w:r>
    </w:p>
    <w:p w14:paraId="0F2FEADF">
      <w:pPr>
        <w:jc w:val="right"/>
      </w:pPr>
      <w:r>
        <w:t>Анучинского муниципального округа</w:t>
      </w:r>
    </w:p>
    <w:p w14:paraId="3C5220DD">
      <w:pPr>
        <w:wordWrap w:val="0"/>
        <w:spacing w:after="150"/>
        <w:jc w:val="right"/>
        <w:rPr>
          <w:rFonts w:hint="default"/>
          <w:lang w:val="ru-RU"/>
        </w:rPr>
      </w:pPr>
      <w:r>
        <w:rPr>
          <w:rStyle w:val="11"/>
          <w:b w:val="0"/>
          <w:bCs w:val="0"/>
          <w:color w:val="333333"/>
        </w:rPr>
        <w:t xml:space="preserve">от </w:t>
      </w:r>
      <w:r>
        <w:rPr>
          <w:rStyle w:val="11"/>
          <w:rFonts w:hint="default"/>
          <w:b w:val="0"/>
          <w:bCs w:val="0"/>
          <w:color w:val="333333"/>
          <w:lang w:val="ru-RU"/>
        </w:rPr>
        <w:t xml:space="preserve">21 </w:t>
      </w:r>
      <w:r>
        <w:rPr>
          <w:rStyle w:val="11"/>
          <w:b w:val="0"/>
          <w:bCs w:val="0"/>
          <w:color w:val="333333"/>
          <w:lang w:val="ru-RU"/>
        </w:rPr>
        <w:t>январ</w:t>
      </w:r>
      <w:r>
        <w:rPr>
          <w:rStyle w:val="11"/>
          <w:b w:val="0"/>
          <w:bCs w:val="0"/>
          <w:color w:val="333333"/>
        </w:rPr>
        <w:t>я 202</w:t>
      </w:r>
      <w:r>
        <w:rPr>
          <w:rStyle w:val="11"/>
          <w:rFonts w:hint="default"/>
          <w:b w:val="0"/>
          <w:bCs w:val="0"/>
          <w:color w:val="333333"/>
          <w:lang w:val="ru-RU"/>
        </w:rPr>
        <w:t>6</w:t>
      </w:r>
      <w:r>
        <w:rPr>
          <w:rStyle w:val="11"/>
          <w:b w:val="0"/>
          <w:bCs w:val="0"/>
          <w:color w:val="333333"/>
        </w:rPr>
        <w:t xml:space="preserve"> года №</w:t>
      </w:r>
      <w:r>
        <w:rPr>
          <w:rStyle w:val="11"/>
          <w:rFonts w:hint="default"/>
          <w:b w:val="0"/>
          <w:bCs w:val="0"/>
          <w:color w:val="333333"/>
          <w:lang w:val="ru-RU"/>
        </w:rPr>
        <w:t xml:space="preserve"> 28-ра </w:t>
      </w:r>
    </w:p>
    <w:p w14:paraId="35C38C70">
      <w:pPr>
        <w:pStyle w:val="7"/>
        <w:spacing w:after="150"/>
        <w:jc w:val="center"/>
        <w:rPr>
          <w:rStyle w:val="11"/>
          <w:color w:val="333333"/>
          <w:sz w:val="28"/>
          <w:szCs w:val="28"/>
        </w:rPr>
      </w:pPr>
    </w:p>
    <w:p w14:paraId="29EF6979">
      <w:pPr>
        <w:pStyle w:val="7"/>
        <w:spacing w:after="150"/>
        <w:jc w:val="center"/>
      </w:pPr>
      <w:r>
        <w:rPr>
          <w:rStyle w:val="11"/>
          <w:color w:val="333333"/>
          <w:sz w:val="28"/>
          <w:szCs w:val="28"/>
        </w:rPr>
        <w:t>Карта комплаенс-рисков администрации Анучинского муниципального округа Приморского края</w:t>
      </w:r>
    </w:p>
    <w:tbl>
      <w:tblPr>
        <w:tblStyle w:val="4"/>
        <w:tblW w:w="9490" w:type="dxa"/>
        <w:tblInd w:w="0" w:type="dxa"/>
        <w:tblBorders>
          <w:top w:val="single" w:color="808080" w:sz="6" w:space="0"/>
          <w:left w:val="single" w:color="808080" w:sz="6" w:space="0"/>
          <w:bottom w:val="single" w:color="808080" w:sz="6" w:space="0"/>
          <w:right w:val="none" w:color="auto" w:sz="0" w:space="0"/>
          <w:insideH w:val="single" w:color="808080" w:sz="6" w:space="0"/>
          <w:insideV w:val="none" w:color="auto" w:sz="0" w:space="0"/>
        </w:tblBorders>
        <w:shd w:val="clear" w:color="auto" w:fill="FFFFFF"/>
        <w:tblLayout w:type="autofit"/>
        <w:tblCellMar>
          <w:top w:w="28" w:type="dxa"/>
          <w:left w:w="20" w:type="dxa"/>
          <w:bottom w:w="28" w:type="dxa"/>
          <w:right w:w="28" w:type="dxa"/>
        </w:tblCellMar>
      </w:tblPr>
      <w:tblGrid>
        <w:gridCol w:w="445"/>
        <w:gridCol w:w="2270"/>
        <w:gridCol w:w="2412"/>
        <w:gridCol w:w="1045"/>
        <w:gridCol w:w="1543"/>
        <w:gridCol w:w="1775"/>
      </w:tblGrid>
      <w:tr w14:paraId="30EC6817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shd w:val="clear" w:color="auto" w:fill="FFFFFF"/>
          <w:tblCellMar>
            <w:top w:w="28" w:type="dxa"/>
            <w:left w:w="20" w:type="dxa"/>
            <w:bottom w:w="28" w:type="dxa"/>
            <w:right w:w="28" w:type="dxa"/>
          </w:tblCellMar>
        </w:tblPrEx>
        <w:tc>
          <w:tcPr>
            <w:tcW w:w="44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60AE170E">
            <w:pPr>
              <w:pStyle w:val="14"/>
              <w:spacing w:after="150"/>
              <w:jc w:val="both"/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29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11B75499">
            <w:pPr>
              <w:pStyle w:val="14"/>
              <w:spacing w:after="150"/>
              <w:jc w:val="both"/>
            </w:pPr>
            <w:r>
              <w:rPr>
                <w:sz w:val="28"/>
                <w:szCs w:val="28"/>
              </w:rPr>
              <w:t>Вид комплаенс-риска</w:t>
            </w:r>
          </w:p>
        </w:tc>
        <w:tc>
          <w:tcPr>
            <w:tcW w:w="244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41352342">
            <w:pPr>
              <w:pStyle w:val="14"/>
              <w:spacing w:after="150"/>
            </w:pPr>
            <w:r>
              <w:rPr>
                <w:sz w:val="28"/>
                <w:szCs w:val="28"/>
              </w:rPr>
              <w:t>Причины и условия возникновения рисков</w:t>
            </w:r>
          </w:p>
        </w:tc>
        <w:tc>
          <w:tcPr>
            <w:tcW w:w="105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2E96853A">
            <w:pPr>
              <w:pStyle w:val="14"/>
              <w:spacing w:after="150"/>
              <w:jc w:val="both"/>
            </w:pPr>
            <w:r>
              <w:rPr>
                <w:sz w:val="28"/>
                <w:szCs w:val="28"/>
              </w:rPr>
              <w:t>Уровень риска</w:t>
            </w:r>
          </w:p>
        </w:tc>
        <w:tc>
          <w:tcPr>
            <w:tcW w:w="15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5F81CB46">
            <w:pPr>
              <w:pStyle w:val="14"/>
              <w:spacing w:after="150"/>
              <w:jc w:val="both"/>
            </w:pPr>
            <w:r>
              <w:rPr>
                <w:sz w:val="28"/>
                <w:szCs w:val="28"/>
              </w:rPr>
              <w:t>Наличие (отсутствие) остаточных рисков</w:t>
            </w:r>
          </w:p>
        </w:tc>
        <w:tc>
          <w:tcPr>
            <w:tcW w:w="170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1602808">
            <w:pPr>
              <w:pStyle w:val="14"/>
              <w:spacing w:after="150"/>
              <w:jc w:val="both"/>
            </w:pPr>
            <w:r>
              <w:rPr>
                <w:sz w:val="28"/>
                <w:szCs w:val="28"/>
              </w:rPr>
              <w:t>Вероятность повторного возникновения рисков</w:t>
            </w:r>
          </w:p>
        </w:tc>
      </w:tr>
      <w:tr w14:paraId="1BE19347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shd w:val="clear" w:color="auto" w:fill="FFFFFF"/>
          <w:tblCellMar>
            <w:top w:w="28" w:type="dxa"/>
            <w:left w:w="20" w:type="dxa"/>
            <w:bottom w:w="28" w:type="dxa"/>
            <w:right w:w="28" w:type="dxa"/>
          </w:tblCellMar>
        </w:tblPrEx>
        <w:tc>
          <w:tcPr>
            <w:tcW w:w="44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78620222">
            <w:pPr>
              <w:pStyle w:val="1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9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62F8D300">
            <w:pPr>
              <w:pStyle w:val="1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44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7EC3A28E">
            <w:pPr>
              <w:pStyle w:val="14"/>
              <w:spacing w:after="150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rPr>
                <w:sz w:val="28"/>
                <w:szCs w:val="28"/>
              </w:rPr>
              <w:t>шибочное применение норм 44-ФЗ от 05.04.2013; отсутствие достаточной квалификации у специалистов; высокая нагрузка у специалистов; несогласованность структурных подразделений</w:t>
            </w:r>
          </w:p>
        </w:tc>
        <w:tc>
          <w:tcPr>
            <w:tcW w:w="105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32400F95">
            <w:pPr>
              <w:pStyle w:val="14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5EA2937B">
            <w:pPr>
              <w:pStyle w:val="14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704" w:type="dxa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E00B30C">
            <w:pPr>
              <w:pStyle w:val="14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  <w:tr w14:paraId="19366833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shd w:val="clear" w:color="auto" w:fill="FFFFFF"/>
          <w:tblCellMar>
            <w:top w:w="28" w:type="dxa"/>
            <w:left w:w="20" w:type="dxa"/>
            <w:bottom w:w="28" w:type="dxa"/>
            <w:right w:w="28" w:type="dxa"/>
          </w:tblCellMar>
        </w:tblPrEx>
        <w:trPr>
          <w:trHeight w:val="4606" w:hRule="atLeast"/>
        </w:trPr>
        <w:tc>
          <w:tcPr>
            <w:tcW w:w="44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37DBBBF2">
            <w:pPr>
              <w:pStyle w:val="14"/>
              <w:jc w:val="both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9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03C612C0">
            <w:pPr>
              <w:pStyle w:val="1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НПА в сферах деятельности администрации Анучинского муниципального округа, содержащих положения, влекущие нарушения антимонопольного законодательства</w:t>
            </w:r>
          </w:p>
        </w:tc>
        <w:tc>
          <w:tcPr>
            <w:tcW w:w="244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60CA0F70">
            <w:pPr>
              <w:pStyle w:val="1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Недостаточное знание действующего законодательства; несвоевременное отслеживание изменений законодательства</w:t>
            </w:r>
          </w:p>
        </w:tc>
        <w:tc>
          <w:tcPr>
            <w:tcW w:w="105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42BF24AA">
            <w:pPr>
              <w:pStyle w:val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39EE5397">
            <w:pPr>
              <w:pStyle w:val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704" w:type="dxa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709ACCA">
            <w:pPr>
              <w:pStyle w:val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</w:tbl>
    <w:p w14:paraId="537C71A1">
      <w:pPr>
        <w:pStyle w:val="7"/>
        <w:spacing w:after="150"/>
        <w:jc w:val="both"/>
        <w:rPr>
          <w:color w:val="333333"/>
        </w:rPr>
      </w:pPr>
    </w:p>
    <w:sectPr>
      <w:pgSz w:w="11906" w:h="16838"/>
      <w:pgMar w:top="1134" w:right="991" w:bottom="709" w:left="1560" w:header="0" w:footer="0" w:gutter="0"/>
      <w:cols w:space="720" w:num="1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OpenSymbol">
    <w:altName w:val="Calibri"/>
    <w:panose1 w:val="00000000000000000000"/>
    <w:charset w:val="02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6A50FD"/>
    <w:multiLevelType w:val="multilevel"/>
    <w:tmpl w:val="276A50FD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9344E82"/>
    <w:multiLevelType w:val="multilevel"/>
    <w:tmpl w:val="69344E82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EF"/>
    <w:rsid w:val="00444EEF"/>
    <w:rsid w:val="004731DB"/>
    <w:rsid w:val="005D7CE9"/>
    <w:rsid w:val="007819E9"/>
    <w:rsid w:val="00857C13"/>
    <w:rsid w:val="008C03C7"/>
    <w:rsid w:val="008F291C"/>
    <w:rsid w:val="00D51285"/>
    <w:rsid w:val="00E44DD4"/>
    <w:rsid w:val="0517311F"/>
    <w:rsid w:val="11A87D08"/>
    <w:rsid w:val="28CD1B01"/>
    <w:rsid w:val="2B0A3D50"/>
    <w:rsid w:val="49F87718"/>
    <w:rsid w:val="4E523439"/>
    <w:rsid w:val="6568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jc w:val="both"/>
      <w:outlineLvl w:val="0"/>
    </w:pPr>
    <w:rPr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2"/>
    <w:basedOn w:val="1"/>
    <w:qFormat/>
    <w:uiPriority w:val="0"/>
    <w:rPr>
      <w:b/>
      <w:bCs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7">
    <w:name w:val="Body Text"/>
    <w:basedOn w:val="1"/>
    <w:qFormat/>
    <w:uiPriority w:val="0"/>
    <w:pPr>
      <w:spacing w:after="140" w:line="276" w:lineRule="auto"/>
    </w:pPr>
  </w:style>
  <w:style w:type="paragraph" w:styleId="8">
    <w:name w:val="index heading"/>
    <w:basedOn w:val="1"/>
    <w:qFormat/>
    <w:uiPriority w:val="0"/>
    <w:pPr>
      <w:suppressLineNumbers/>
    </w:pPr>
  </w:style>
  <w:style w:type="paragraph" w:styleId="9">
    <w:name w:val="Title"/>
    <w:basedOn w:val="1"/>
    <w:next w:val="7"/>
    <w:qFormat/>
    <w:uiPriority w:val="10"/>
    <w:pPr>
      <w:keepNext/>
      <w:spacing w:before="240" w:after="120"/>
    </w:pPr>
    <w:rPr>
      <w:rFonts w:eastAsia="Microsoft YaHei"/>
      <w:sz w:val="28"/>
      <w:szCs w:val="28"/>
    </w:rPr>
  </w:style>
  <w:style w:type="paragraph" w:styleId="10">
    <w:name w:val="List"/>
    <w:basedOn w:val="7"/>
    <w:qFormat/>
    <w:uiPriority w:val="0"/>
  </w:style>
  <w:style w:type="character" w:customStyle="1" w:styleId="11">
    <w:name w:val="Выделение жирным"/>
    <w:qFormat/>
    <w:uiPriority w:val="0"/>
    <w:rPr>
      <w:b/>
      <w:bCs/>
    </w:rPr>
  </w:style>
  <w:style w:type="character" w:customStyle="1" w:styleId="12">
    <w:name w:val="Маркеры списка"/>
    <w:qFormat/>
    <w:uiPriority w:val="0"/>
    <w:rPr>
      <w:rFonts w:ascii="OpenSymbol" w:hAnsi="OpenSymbol" w:eastAsia="OpenSymbol" w:cs="OpenSymbol"/>
    </w:rPr>
  </w:style>
  <w:style w:type="character" w:customStyle="1" w:styleId="13">
    <w:name w:val="Интернет-ссылка"/>
    <w:qFormat/>
    <w:uiPriority w:val="0"/>
    <w:rPr>
      <w:color w:val="000080"/>
      <w:u w:val="single"/>
    </w:rPr>
  </w:style>
  <w:style w:type="paragraph" w:customStyle="1" w:styleId="14">
    <w:name w:val="Содержимое таблицы"/>
    <w:basedOn w:val="1"/>
    <w:qFormat/>
    <w:uiPriority w:val="0"/>
    <w:pPr>
      <w:suppressLineNumbers/>
    </w:pPr>
  </w:style>
  <w:style w:type="paragraph" w:customStyle="1" w:styleId="15">
    <w:name w:val="Заголовок таблицы"/>
    <w:basedOn w:val="14"/>
    <w:qFormat/>
    <w:uiPriority w:val="0"/>
    <w:pPr>
      <w:jc w:val="center"/>
    </w:pPr>
    <w:rPr>
      <w:b/>
      <w:bCs/>
    </w:rPr>
  </w:style>
  <w:style w:type="paragraph" w:customStyle="1" w:styleId="16">
    <w:name w:val="ConsPlusNormal"/>
    <w:qFormat/>
    <w:uiPriority w:val="0"/>
    <w:pPr>
      <w:widowControl w:val="0"/>
      <w:suppressAutoHyphens/>
    </w:pPr>
    <w:rPr>
      <w:rFonts w:ascii="Calibri" w:hAnsi="Calibri" w:eastAsia="Times New Roman" w:cs="Calibri"/>
      <w:kern w:val="2"/>
      <w:sz w:val="22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433</Words>
  <Characters>2472</Characters>
  <Lines>20</Lines>
  <Paragraphs>5</Paragraphs>
  <TotalTime>56</TotalTime>
  <ScaleCrop>false</ScaleCrop>
  <LinksUpToDate>false</LinksUpToDate>
  <CharactersWithSpaces>2900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2022-02-22T01:20:00Z</dcterms:created>
  <dc:creator>Василий В. Меховский</dc:creator>
  <cp:lastModifiedBy>PrimachevAA</cp:lastModifiedBy>
  <cp:lastPrinted>2026-01-30T00:12:00Z</cp:lastPrinted>
  <dcterms:modified xsi:type="dcterms:W3CDTF">2026-01-30T05:13:20Z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B7FF4A77E2DC4AEB96865176E8B9580E_13</vt:lpwstr>
  </property>
</Properties>
</file>