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DB739">
      <w:pPr>
        <w:pStyle w:val="2"/>
        <w:keepNext w:val="0"/>
        <w:keepLines w:val="0"/>
        <w:widowControl/>
        <w:suppressLineNumbers w:val="0"/>
        <w:spacing w:before="300" w:beforeAutospacing="0" w:after="150" w:afterAutospacing="0" w:line="15" w:lineRule="atLeast"/>
        <w:ind w:left="0" w:right="0"/>
        <w:jc w:val="center"/>
        <w:rPr>
          <w:sz w:val="36"/>
          <w:szCs w:val="36"/>
        </w:rPr>
      </w:pPr>
      <w:r>
        <w:rPr>
          <w:sz w:val="36"/>
          <w:szCs w:val="36"/>
          <w:lang w:val="ru-RU"/>
        </w:rPr>
        <w:t>памятка</w:t>
      </w:r>
      <w:r>
        <w:rPr>
          <w:sz w:val="36"/>
          <w:szCs w:val="36"/>
        </w:rPr>
        <w:t xml:space="preserve"> по борьбе с амброзией ПОЛЫННОЛИСТНОЙ</w:t>
      </w:r>
    </w:p>
    <w:p w14:paraId="526B6A77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rPr>
          <w:color w:val="2FA4E7"/>
          <w:u w:val="none"/>
        </w:rPr>
        <w:drawing>
          <wp:inline distT="0" distB="0" distL="114300" distR="114300">
            <wp:extent cx="2857500" cy="1885950"/>
            <wp:effectExtent l="0" t="0" r="0" b="0"/>
            <wp:docPr id="10" name="Изображение 1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Амброзия полыннолистная… Это растение знают все. И не только потому, что произрастает она в нашем регионе практически повсеместно: вдоль дорог и в населенных пунктах, на землях сельскохозяйственного и промышленного назначения, в зонах отдыха.</w:t>
      </w:r>
    </w:p>
    <w:p w14:paraId="3272BC9C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>В период цветения амброзия является сильным аллергеном. Вред амброзии в районах массового ее распространения исключительно велик. Она причиняет как биологический, так и технологический ущерб окружающей среде, земледелию. Развивая мощную надземную массу и корневую систему, сильно угнетает культурные растения. Она расходует очень много воды на образование единицы сухого вещества (в среднем в 2 раза больше, чем зерновые колосовые), что приводит к иссушению почвы. Амброзия резко снижает плодородие почвы, вынося из нее большие количества элементов минерального питания растений. Помимо иссушения и истощения почвы, высокорослая и хорошо облиственная амброзия затеняет от солнечного света возделываемые растения, что приводит к резкому снижению, а то и полной потере урожая. На засоренных амброзией полях резко падает производительность сельскохозяйственной техники, ухудшается качество полевых работ и затрудняется уборка урожая. На лугах и пастбищах этот сорняк вытесняет злаково-бобовые травы и резко снижает кормовые качества зеленого корма, сена, так как скот не поедает амброзию из-за содержания в ее листьях горьких эфирных масел.</w:t>
      </w:r>
    </w:p>
    <w:p w14:paraId="760E0F76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>Амброзия полыннолистная — злейший враг здоровья человека. Это растение выделяет ряд эфирных масел, которые вызывают сильнейшие головные боли и скачки артериального давления. Пыльца амброзии сильнейший аллерген, она разносится с ветром на десятки километров, поднимаясь в высоту до 5000 метров. В период цветения амброзии у людей наблюдаются вспышки бронхиальной астмы, а также массовое аллергическое заболевание амброзийный поллиноз со следующими симптомами: повышение температуры, слезотечение, конъюнктивит, ухудшение зрения, в тяжелых случаях – отек легких. Лечение таких заболеваний очень нелегкое и продолжительное. Ежегодно возрастает количество людей, заболевших поллинозом, и самое страшное, что 32 % из них составляют дети. Установлено, что аллергены содержатся также в семенах и листьях амброзии. Они могут вызывать у людей дерматиты.</w:t>
      </w:r>
    </w:p>
    <w:p w14:paraId="2DFF1202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rPr>
          <w:rStyle w:val="8"/>
          <w:b/>
          <w:bCs/>
        </w:rPr>
        <w:t>Меры борьбы. </w:t>
      </w:r>
      <w:r>
        <w:t>С амброзией полыннолистной необходимо бороться до начала ее цветения, учитывая биологические особенности данного сорняка. Наиболее эффективным методом борьбы в настоящее время является удаление ее с корнем. Скашивание, как метод борьбы с амброзией полыннолистной, малоэффективен, так как она отрастает, давая при этом от 5 до 15 новых побегов. В связи с этим данный прием необходимо проводить многократно по мере отрастания побегов, таким образом возможно удастся предупредить цветение амброзии.</w:t>
      </w:r>
    </w:p>
    <w:p w14:paraId="3D177F3A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>На посевах с/х культур агротехнические меры борьбы имеют решающее значение для ликвидации амброзии полыннолистной. Они включают в себя правильное чередование культур в севообороте, обработку почвы, уход за посевами. Хорошо очищает поля от амброзии бессменный (2-3 года) посев озимых зерновых с предшествующей полупаровой обработкой поля. Посевы поздно убираемых пропашных культур – основные источники повторного засорения полей амброзией и поэтому требуют тщательного ухода. Здесь важно своевременно применять весь комплекс агротехнических мероприятий в сочетании с химическими мерами борьбы, а при необходимости и ручную прополку. Против амброзии полыннолистной эффективны гербициды, рекомендованные для борьбы с однолетними двудольными сорняками, применение которых регламентируется «Государственным каталогом (списком) пестицидов и агрохимикатов, разрешенных к применению на территории Российской Федерации».</w:t>
      </w:r>
    </w:p>
    <w:p w14:paraId="28FBAA0A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>Мероприятия, направленные на борьбу с амброзией полыннолистной необходимо проводить своевременно, не допуская ее массового цветения, созревания семян и вторичного заражения земельных участков.</w:t>
      </w:r>
    </w:p>
    <w:p w14:paraId="6E634CB6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 xml:space="preserve">Организациям и индивидуальным предпринимателям, имеющим земельные участки, а также жителям </w:t>
      </w:r>
      <w:r>
        <w:rPr>
          <w:lang w:val="ru-RU"/>
        </w:rPr>
        <w:t>Анучинского</w:t>
      </w:r>
      <w:r>
        <w:rPr>
          <w:rFonts w:hint="default"/>
          <w:lang w:val="ru-RU"/>
        </w:rPr>
        <w:t xml:space="preserve"> района</w:t>
      </w:r>
      <w:bookmarkStart w:id="0" w:name="_GoBack"/>
      <w:bookmarkEnd w:id="0"/>
      <w:r>
        <w:t xml:space="preserve"> и особенно, проживающим в частном секторе, не стоит оставаться в стороне от таких важных мероприятий. Кроме того, в соответствии с ч.2 ст.11 Федерального закона от 15 июля 2000 года № 99-ФЗ «О карантине растений» и ч.4 ст.20 Федерального закона от 21 июля 2014 года № 206-ФЗ «О карантине растений» – мероприятия по выявлению карантинных объектов, борьбе с ними, локализации и ликвидации их очагов осуществляются за счет средств и силами землевладельцев (землепользователей).</w:t>
      </w:r>
    </w:p>
    <w:p w14:paraId="1B804AED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>Общественное сознание должно прийти к пониманию того, что люди, допустившие произрастание амброзии, наносят непоправимый вред здоровью всего общества и в том числе своим детям и внукам.</w:t>
      </w:r>
    </w:p>
    <w:p w14:paraId="00F56481">
      <w:pPr>
        <w:pStyle w:val="9"/>
        <w:keepNext w:val="0"/>
        <w:keepLines w:val="0"/>
        <w:widowControl/>
        <w:suppressLineNumbers w:val="0"/>
        <w:spacing w:before="0" w:beforeAutospacing="0" w:after="150" w:afterAutospacing="0"/>
        <w:ind w:left="0" w:right="0"/>
      </w:pPr>
      <w:r>
        <w:t xml:space="preserve"> Только неравнодушное отношение и участие каждого в уничтожении амброзии помогут искоренить вредоносный сорняк.</w:t>
      </w:r>
    </w:p>
    <w:p w14:paraId="5D1171E5">
      <w:pPr>
        <w:keepNext w:val="0"/>
        <w:keepLines w:val="0"/>
        <w:widowControl/>
        <w:suppressLineNumbers w:val="0"/>
        <w:jc w:val="left"/>
        <w:rPr>
          <w:rFonts w:hint="default" w:ascii="sans-serif" w:hAnsi="sans-serif" w:eastAsia="sans-serif" w:cs="sans-serif"/>
          <w:color w:val="FFFFFF"/>
        </w:rPr>
      </w:pPr>
      <w:r>
        <w:rPr>
          <w:rStyle w:val="8"/>
          <w:b/>
          <w:bCs/>
        </w:rPr>
        <w:t>    </w:t>
      </w:r>
    </w:p>
    <w:p w14:paraId="4120E58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300" w:afterAutospacing="0"/>
        <w:ind w:left="1160" w:leftChars="0" w:hanging="360" w:firstLineChars="0"/>
      </w:pPr>
    </w:p>
    <w:p w14:paraId="4AEFC7D3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"https://adm-privol.ru/category/predprinimatelstvo/gosudarstvennoe-i-munitsipalnoe-imushhestvo/"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1B442BA3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"https://adm-privol.ru/category/predprinimatelstvo/informatsiya-dlya-subektov-msp-i-samozanyatyh/"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"https://adm-privol.ru/category/predprinimatelstvo/konkursy-na-okazanie-finansovoj-podderzhki-subektam/"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52A7295D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"https://adm-privol.ru/category/predprinimatelstvo/koordinatsionnyj-soveshhatelnyj-organ/"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3A6420BA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"https://adm-privol.ru/category/predprinimatelstvo/oborot-tovarov-i-uslug/"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47063536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"https://adm-privol.ru/category/predprinimatelstvo/organizatsii-po-podderzhke-subektov-smp/"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727EFDBD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"https://adm-privol.ru/category/predprinimatelstvo/programma-po-malomu-i-srednemu-predprinimatelstvu/"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4D67BF36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"https://adm-privol.ru/category/predprinimatelstvo/realizatsiya-programm-i-podprogramm-po-razvitiyu-msp/"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0261F6FE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"https://adm-privol.ru/category/predprinimatelstvo/reestr-subektov-msp-poluchatelej-podderzhki/"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66DBD202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"https://adm-privol.ru/category/predprinimatelstvo/svedeniya-o-predostavlennyh-organizatsiyam-i-individualnym-predprinimatelyam-lgotah-otsrochkah-rassrochkah-o-spisanii-zadolzhennosti-po-platezham-v-byudzhety-byudzhetnoj-sistemy-rossijskoj-federatsii/"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71D9D05B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"https://adm-privol.ru/category/predprinimatelstvo/subekty-predprinimatelstva/"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3EA73394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"https://adm-privol.ru/category/predprinimatelstvo/finansovo-ekonomicheskoe-sostoyanie-subektov/"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74E44F0A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"https://adm-privol.ru/category/predprinimatelstvo/chislo-zameshhennyh-rabochih-mest/"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548852B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300" w:afterAutospacing="0"/>
        <w:ind w:left="1160" w:leftChars="0" w:hanging="360" w:firstLineChars="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"https://adm-privol.ru/category/subsidirovanie/"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rStyle w:val="7"/>
          <w:color w:val="555555"/>
          <w:u w:val="none"/>
          <w:shd w:val="clear" w:fill="FFFFFF"/>
        </w:rPr>
        <w:t>е</w:t>
      </w:r>
      <w:r>
        <w:rPr>
          <w:color w:val="555555"/>
          <w:u w:val="none"/>
          <w:shd w:val="clear" w:fill="FFFFFF"/>
        </w:rPr>
        <w:fldChar w:fldCharType="end"/>
      </w:r>
    </w:p>
    <w:p w14:paraId="2CA483B2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"https://adm-privol.ru/category/subsidirovanie/subsidii-na-vozmeshhenie-chasti-zatrat-ponesennyh-na-proizvodstvo-krs/"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0F83AD9E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300" w:afterAutospacing="0"/>
        <w:ind w:left="0" w:hanging="360"/>
      </w:pPr>
      <w:r>
        <w:rPr>
          <w:color w:val="555555"/>
          <w:u w:val="none"/>
          <w:shd w:val="clear" w:fill="FFFFFF"/>
        </w:rPr>
        <w:fldChar w:fldCharType="begin"/>
      </w:r>
      <w:r>
        <w:rPr>
          <w:color w:val="555555"/>
          <w:u w:val="none"/>
          <w:shd w:val="clear" w:fill="FFFFFF"/>
        </w:rPr>
        <w:instrText xml:space="preserve"> HYPERLINK "https://adm-privol.ru/category/subsidirovanie/subsidii-na-vozmeshhenie-chasti-zatrat-ponesennyh-na-proizvodstvo-moloka/" </w:instrText>
      </w:r>
      <w:r>
        <w:rPr>
          <w:color w:val="555555"/>
          <w:u w:val="none"/>
          <w:shd w:val="clear" w:fill="FFFFFF"/>
        </w:rPr>
        <w:fldChar w:fldCharType="separate"/>
      </w:r>
      <w:r>
        <w:rPr>
          <w:color w:val="555555"/>
          <w:u w:val="none"/>
          <w:shd w:val="clear" w:fill="FFFFFF"/>
        </w:rPr>
        <w:fldChar w:fldCharType="end"/>
      </w:r>
    </w:p>
    <w:p w14:paraId="1D1BEF5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ind w:left="-225" w:right="-225"/>
        <w:jc w:val="left"/>
      </w:pPr>
    </w:p>
    <w:p w14:paraId="07E19BF9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ind w:left="-225" w:right="-225"/>
        <w:jc w:val="left"/>
      </w:pPr>
    </w:p>
    <w:p w14:paraId="0DAAE0C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ind w:left="-225" w:right="-225"/>
        <w:jc w:val="left"/>
      </w:pPr>
    </w:p>
    <w:p w14:paraId="63A9DDEB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ind w:left="-225" w:right="-225"/>
        <w:jc w:val="left"/>
      </w:pPr>
    </w:p>
    <w:p w14:paraId="385E48E8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ind w:left="-225" w:right="-225"/>
        <w:jc w:val="left"/>
      </w:pPr>
    </w:p>
    <w:p w14:paraId="74BBE7CC">
      <w:pPr>
        <w:keepNext w:val="0"/>
        <w:keepLines w:val="0"/>
        <w:widowControl/>
        <w:suppressLineNumbers w:val="0"/>
        <w:jc w:val="left"/>
      </w:pPr>
    </w:p>
    <w:p w14:paraId="0E59103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F11E18"/>
    <w:multiLevelType w:val="multilevel"/>
    <w:tmpl w:val="A2F11E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188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E583A"/>
    <w:rsid w:val="40680E40"/>
    <w:rsid w:val="746E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6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4"/>
      <w:szCs w:val="1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uiPriority w:val="0"/>
    <w:rPr>
      <w:color w:val="0000FF"/>
      <w:u w:val="single"/>
    </w:rPr>
  </w:style>
  <w:style w:type="character" w:styleId="8">
    <w:name w:val="Strong"/>
    <w:basedOn w:val="4"/>
    <w:qFormat/>
    <w:uiPriority w:val="0"/>
    <w:rPr>
      <w:b/>
      <w:bCs/>
    </w:rPr>
  </w:style>
  <w:style w:type="paragraph" w:styleId="9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10">
    <w:name w:val="_Style 9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customStyle="1" w:styleId="11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hyperlink" Target="https://adm-privol.ru/wp-content/uploads/2020/06/ano.png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2025-01-23T02:08:00Z</dcterms:created>
  <dc:creator>MartynovaGV</dc:creator>
  <cp:lastModifiedBy>MartynovaGV</cp:lastModifiedBy>
  <dcterms:modified xsi:type="dcterms:W3CDTF">2025-01-23T22:24:33Z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AC3415B54A9143249A1ACCE80DA54C44_11</vt:lpwstr>
  </property>
</Properties>
</file>