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58D64" w14:textId="3DEBC61B" w:rsidR="000F529F" w:rsidRDefault="00903F63">
      <w:r>
        <w:rPr>
          <w:noProof/>
        </w:rPr>
        <w:drawing>
          <wp:inline distT="0" distB="0" distL="0" distR="0" wp14:anchorId="191BD0F4" wp14:editId="74C49F19">
            <wp:extent cx="5940425" cy="3342839"/>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3342839"/>
                    </a:xfrm>
                    <a:prstGeom prst="rect">
                      <a:avLst/>
                    </a:prstGeom>
                    <a:noFill/>
                    <a:ln>
                      <a:noFill/>
                    </a:ln>
                  </pic:spPr>
                </pic:pic>
              </a:graphicData>
            </a:graphic>
          </wp:inline>
        </w:drawing>
      </w:r>
    </w:p>
    <w:p w14:paraId="3CE08A74" w14:textId="77777777" w:rsidR="00903F63" w:rsidRPr="001662A7" w:rsidRDefault="00903F63" w:rsidP="00903F63">
      <w:pPr>
        <w:rPr>
          <w:rFonts w:ascii="Times New Roman" w:hAnsi="Times New Roman" w:cs="Times New Roman"/>
          <w:b/>
          <w:bCs/>
          <w:sz w:val="24"/>
          <w:szCs w:val="24"/>
        </w:rPr>
      </w:pPr>
      <w:r w:rsidRPr="001662A7">
        <w:rPr>
          <w:rFonts w:ascii="Times New Roman" w:hAnsi="Times New Roman" w:cs="Times New Roman"/>
          <w:b/>
          <w:bCs/>
          <w:sz w:val="24"/>
          <w:szCs w:val="24"/>
        </w:rPr>
        <w:t>Какие законы вступают в силу с 1 октября 2025 года</w:t>
      </w:r>
    </w:p>
    <w:p w14:paraId="1C34F358" w14:textId="77777777" w:rsidR="00903F63" w:rsidRPr="001662A7" w:rsidRDefault="00903F63" w:rsidP="001662A7">
      <w:pPr>
        <w:jc w:val="both"/>
        <w:rPr>
          <w:rFonts w:ascii="Times New Roman" w:hAnsi="Times New Roman" w:cs="Times New Roman"/>
          <w:b/>
          <w:bCs/>
          <w:i/>
          <w:iCs/>
          <w:sz w:val="24"/>
          <w:szCs w:val="24"/>
        </w:rPr>
      </w:pPr>
      <w:r w:rsidRPr="001662A7">
        <w:rPr>
          <w:rFonts w:ascii="Times New Roman" w:hAnsi="Times New Roman" w:cs="Times New Roman"/>
          <w:b/>
          <w:bCs/>
          <w:i/>
          <w:iCs/>
          <w:sz w:val="24"/>
          <w:szCs w:val="24"/>
        </w:rPr>
        <w:t>Вырастет зарплата сотрудников федеральных учреждений и госслужащих</w:t>
      </w:r>
    </w:p>
    <w:p w14:paraId="3668427F"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На 7,6% проиндексируют оклады и пенсии сотрудников федеральных государственных органов и учреждений (казенных, бюджетных, автономных), военнослужащих (контрактников и срочников), работников правоохранительных органов (Росгвардии, МВД, ФСИН), сотрудников спецслужб (МЧС, судебные приставы, таможенники), гражданского персонала воинских частей, дипломатов и сотрудников МИД, судей и работников органов юстиции.</w:t>
      </w:r>
    </w:p>
    <w:p w14:paraId="204CD149" w14:textId="77777777" w:rsidR="00903F63" w:rsidRPr="001662A7" w:rsidRDefault="00903F63" w:rsidP="001662A7">
      <w:pPr>
        <w:jc w:val="both"/>
        <w:rPr>
          <w:rFonts w:ascii="Times New Roman" w:hAnsi="Times New Roman" w:cs="Times New Roman"/>
          <w:b/>
          <w:bCs/>
          <w:i/>
          <w:iCs/>
          <w:sz w:val="24"/>
          <w:szCs w:val="24"/>
        </w:rPr>
      </w:pPr>
      <w:r w:rsidRPr="001662A7">
        <w:rPr>
          <w:rFonts w:ascii="Times New Roman" w:hAnsi="Times New Roman" w:cs="Times New Roman"/>
          <w:b/>
          <w:bCs/>
          <w:i/>
          <w:iCs/>
          <w:sz w:val="24"/>
          <w:szCs w:val="24"/>
        </w:rPr>
        <w:t>Выдавать ипотеку смогут региональные микрокредитные организации</w:t>
      </w:r>
    </w:p>
    <w:p w14:paraId="3E05B0EA"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Право выдавать ипотечный кредит под залог жилья с 22 октября получают те микрокредитные организации (МКК), которые на 100% принадлежат региону, либо субъект РФ выступает их единственным учредителем. В этом случае финансовая организация сможет выдать ипотечный кредит, в том числе в рамках региональных государственных программ, направленных на улучшение жилищных условий граждан. Уточняется, что материнский капитал и выплату для многодетной семьи в размере 450 тыс. рублей можно будет направить на полное или частичное погашение ипотеки, выданной при таких условиях.</w:t>
      </w:r>
    </w:p>
    <w:p w14:paraId="17DEECCD" w14:textId="77777777" w:rsidR="00903F63" w:rsidRPr="001662A7" w:rsidRDefault="00903F63" w:rsidP="001662A7">
      <w:pPr>
        <w:jc w:val="both"/>
        <w:rPr>
          <w:rFonts w:ascii="Times New Roman" w:hAnsi="Times New Roman" w:cs="Times New Roman"/>
          <w:b/>
          <w:bCs/>
          <w:i/>
          <w:iCs/>
          <w:sz w:val="24"/>
          <w:szCs w:val="24"/>
        </w:rPr>
      </w:pPr>
      <w:r w:rsidRPr="001662A7">
        <w:rPr>
          <w:rFonts w:ascii="Times New Roman" w:hAnsi="Times New Roman" w:cs="Times New Roman"/>
          <w:b/>
          <w:bCs/>
          <w:i/>
          <w:iCs/>
          <w:sz w:val="24"/>
          <w:szCs w:val="24"/>
        </w:rPr>
        <w:t>Изменится лимит страховки по безотзывным вкладам</w:t>
      </w:r>
    </w:p>
    <w:p w14:paraId="5E2F2A45"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Нововведение коснется вкладов, которые размещены в банке на срок более трех лет без возможности досрочного снятия денег. Сумма страхового возмещения составит 2,8 млн рублей вместо 1,4 млн рублей. При этом страховку по таким вкладам Агентство страхования вкладов выплатит отдельно от возмещения по другим видам вкладов, лимит которого остается на уровне 1,4 млн рублей. В итоге общая сумма застрахованных накоплений может достигать 4,2 млн рублей.</w:t>
      </w:r>
    </w:p>
    <w:p w14:paraId="0B40C587" w14:textId="77777777" w:rsidR="00903F63" w:rsidRPr="001662A7" w:rsidRDefault="00903F63" w:rsidP="001662A7">
      <w:pPr>
        <w:jc w:val="both"/>
        <w:rPr>
          <w:rFonts w:ascii="Times New Roman" w:hAnsi="Times New Roman" w:cs="Times New Roman"/>
          <w:b/>
          <w:bCs/>
          <w:i/>
          <w:iCs/>
          <w:sz w:val="24"/>
          <w:szCs w:val="24"/>
        </w:rPr>
      </w:pPr>
      <w:r w:rsidRPr="001662A7">
        <w:rPr>
          <w:rFonts w:ascii="Times New Roman" w:hAnsi="Times New Roman" w:cs="Times New Roman"/>
          <w:b/>
          <w:bCs/>
          <w:i/>
          <w:iCs/>
          <w:sz w:val="24"/>
          <w:szCs w:val="24"/>
        </w:rPr>
        <w:t>Самозанятые и бизнесмены смогут оформить кредитные каникулы</w:t>
      </w:r>
    </w:p>
    <w:p w14:paraId="4EE68A88"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 xml:space="preserve">Мера распространяется на все виды кредитов, в том числе льготные и выданные по государственным программам МСП. Воспользоваться кредитными каникулами можно раз </w:t>
      </w:r>
      <w:r w:rsidRPr="001662A7">
        <w:rPr>
          <w:rFonts w:ascii="Times New Roman" w:hAnsi="Times New Roman" w:cs="Times New Roman"/>
          <w:sz w:val="24"/>
          <w:szCs w:val="24"/>
        </w:rPr>
        <w:lastRenderedPageBreak/>
        <w:t>в пять лет сроком до шести месяцев по каждому кредитному договору. Льготный период одобрят, если сумма займа не больше:</w:t>
      </w:r>
    </w:p>
    <w:p w14:paraId="049DAB3B"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для самозанятых – 10 млн рублей,</w:t>
      </w:r>
    </w:p>
    <w:p w14:paraId="491CC069"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для микропредприятий – 60 млн рублей,</w:t>
      </w:r>
    </w:p>
    <w:p w14:paraId="6F0E5EF9"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для малых предприятий – 400 млн рублей,</w:t>
      </w:r>
    </w:p>
    <w:p w14:paraId="155E66B4"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для средних предприятий – 1 млрд рублей.</w:t>
      </w:r>
    </w:p>
    <w:p w14:paraId="6196BEC3"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Закон вступит в силу с 1 октября 2025 года, но его действие распространяется на кредитные договоры, заключенные с 1 марта 2024 года.</w:t>
      </w:r>
    </w:p>
    <w:p w14:paraId="6512AD7E" w14:textId="77777777" w:rsidR="00903F63" w:rsidRPr="001662A7" w:rsidRDefault="00903F63" w:rsidP="001662A7">
      <w:pPr>
        <w:jc w:val="both"/>
        <w:rPr>
          <w:rFonts w:ascii="Times New Roman" w:hAnsi="Times New Roman" w:cs="Times New Roman"/>
          <w:b/>
          <w:bCs/>
          <w:i/>
          <w:iCs/>
          <w:sz w:val="24"/>
          <w:szCs w:val="24"/>
        </w:rPr>
      </w:pPr>
      <w:r w:rsidRPr="001662A7">
        <w:rPr>
          <w:rFonts w:ascii="Times New Roman" w:hAnsi="Times New Roman" w:cs="Times New Roman"/>
          <w:b/>
          <w:bCs/>
          <w:i/>
          <w:iCs/>
          <w:sz w:val="24"/>
          <w:szCs w:val="24"/>
        </w:rPr>
        <w:t>Вводятся новые ограничения на выдачу ипотеки на ИЖС</w:t>
      </w:r>
    </w:p>
    <w:p w14:paraId="18969C8F"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Во-первых, они коснутся граждан с высокой долговой нагрузкой: если финансовая нагрузка у физлица выше 80% от дохода, в кредите ему откажут. Кроме того, Банк России установил лимиты на выдачу кредитов под залог недвижимости: банкам запрещено выдавать более 25% таких кредитов клиентам с долговой нагрузкой от 50%.</w:t>
      </w:r>
    </w:p>
    <w:p w14:paraId="4847D2F6" w14:textId="77777777" w:rsidR="00903F63" w:rsidRPr="001662A7" w:rsidRDefault="00903F63" w:rsidP="001662A7">
      <w:pPr>
        <w:jc w:val="both"/>
        <w:rPr>
          <w:rFonts w:ascii="Times New Roman" w:hAnsi="Times New Roman" w:cs="Times New Roman"/>
          <w:b/>
          <w:bCs/>
          <w:i/>
          <w:iCs/>
          <w:sz w:val="24"/>
          <w:szCs w:val="24"/>
        </w:rPr>
      </w:pPr>
      <w:r w:rsidRPr="001662A7">
        <w:rPr>
          <w:rFonts w:ascii="Times New Roman" w:hAnsi="Times New Roman" w:cs="Times New Roman"/>
          <w:b/>
          <w:bCs/>
          <w:i/>
          <w:iCs/>
          <w:sz w:val="24"/>
          <w:szCs w:val="24"/>
        </w:rPr>
        <w:t>Факт назначения пенсии можно будет подтвердить с помощью QR-кода</w:t>
      </w:r>
    </w:p>
    <w:p w14:paraId="0674F692"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Для этого пенсионеру необходимо сформировать на портале «Госуслуги». файл в формате PDF. В нем будут указаны ФИО и СНИЛС получателя выплаты, вид пенсии и срок, на который она установлена. Такое электронное свидетельство с QR-кодом можно предъявить уполномоченному лицу. При этом бумажное свидетельство пенсионера также будет действительно.</w:t>
      </w:r>
    </w:p>
    <w:p w14:paraId="0E12E404" w14:textId="77777777" w:rsidR="00903F63" w:rsidRPr="001662A7" w:rsidRDefault="00903F63" w:rsidP="001662A7">
      <w:pPr>
        <w:jc w:val="both"/>
        <w:rPr>
          <w:rFonts w:ascii="Times New Roman" w:hAnsi="Times New Roman" w:cs="Times New Roman"/>
          <w:b/>
          <w:bCs/>
          <w:i/>
          <w:iCs/>
          <w:sz w:val="24"/>
          <w:szCs w:val="24"/>
        </w:rPr>
      </w:pPr>
      <w:r w:rsidRPr="001662A7">
        <w:rPr>
          <w:rFonts w:ascii="Times New Roman" w:hAnsi="Times New Roman" w:cs="Times New Roman"/>
          <w:b/>
          <w:bCs/>
          <w:i/>
          <w:iCs/>
          <w:sz w:val="24"/>
          <w:szCs w:val="24"/>
        </w:rPr>
        <w:t>Изменится порядок подачи электронных писем в ФНС</w:t>
      </w:r>
    </w:p>
    <w:p w14:paraId="05C22CD9" w14:textId="77777777"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Теперь, чтобы отправить декларацию, заявление, жалобу или уточнение не потребуются специализированные приложения или личные визиты в налоговую. Основными каналами для передачи и обмена документов будут личный кабинет налогоплательщика, платформа обратной связи на «Госуслугах» и электронные сервисы ФНС. Цель изменений – «унифицировать и упростить процесс взаимодействия с налогоплательщиками в соответствии с современными требованиями», отметили в ФНС.</w:t>
      </w:r>
    </w:p>
    <w:p w14:paraId="62DDE25B" w14:textId="77777777" w:rsidR="00903F63" w:rsidRPr="001662A7" w:rsidRDefault="00903F63" w:rsidP="001662A7">
      <w:pPr>
        <w:jc w:val="both"/>
        <w:rPr>
          <w:rFonts w:ascii="Times New Roman" w:hAnsi="Times New Roman" w:cs="Times New Roman"/>
          <w:b/>
          <w:bCs/>
          <w:i/>
          <w:iCs/>
          <w:sz w:val="24"/>
          <w:szCs w:val="24"/>
        </w:rPr>
      </w:pPr>
      <w:r w:rsidRPr="001662A7">
        <w:rPr>
          <w:rFonts w:ascii="Times New Roman" w:hAnsi="Times New Roman" w:cs="Times New Roman"/>
          <w:b/>
          <w:bCs/>
          <w:i/>
          <w:iCs/>
          <w:sz w:val="24"/>
          <w:szCs w:val="24"/>
        </w:rPr>
        <w:t>Маркировать начнут новые группы товаров</w:t>
      </w:r>
    </w:p>
    <w:p w14:paraId="0CCD64EF" w14:textId="46066703" w:rsidR="00903F63" w:rsidRPr="001662A7" w:rsidRDefault="00903F63" w:rsidP="001662A7">
      <w:pPr>
        <w:jc w:val="both"/>
        <w:rPr>
          <w:rFonts w:ascii="Times New Roman" w:hAnsi="Times New Roman" w:cs="Times New Roman"/>
          <w:sz w:val="24"/>
          <w:szCs w:val="24"/>
        </w:rPr>
      </w:pPr>
      <w:r w:rsidRPr="001662A7">
        <w:rPr>
          <w:rFonts w:ascii="Times New Roman" w:hAnsi="Times New Roman" w:cs="Times New Roman"/>
          <w:sz w:val="24"/>
          <w:szCs w:val="24"/>
        </w:rPr>
        <w:t>Уникальный QR-код появится с 1 октября на товарах еще трех категорий. Это</w:t>
      </w:r>
      <w:r w:rsidR="001662A7">
        <w:rPr>
          <w:rFonts w:ascii="Times New Roman" w:hAnsi="Times New Roman" w:cs="Times New Roman"/>
          <w:sz w:val="24"/>
          <w:szCs w:val="24"/>
        </w:rPr>
        <w:t xml:space="preserve"> </w:t>
      </w:r>
      <w:r w:rsidRPr="001662A7">
        <w:rPr>
          <w:rFonts w:ascii="Times New Roman" w:hAnsi="Times New Roman" w:cs="Times New Roman"/>
          <w:sz w:val="24"/>
          <w:szCs w:val="24"/>
        </w:rPr>
        <w:t>строительные материалы (цемент, бетон, строительные материалы и смеси), косметика и бытовая химия (зубная паста, продукты для маникюра и педикюра), спортивное питание. При наведении на него в приложении «Честный знак» покупатель сможет увидеть полную информацию о продукте и географию его движения до прилавка.</w:t>
      </w:r>
    </w:p>
    <w:sectPr w:rsidR="00903F63" w:rsidRPr="001662A7" w:rsidSect="001662A7">
      <w:pgSz w:w="11906" w:h="16838"/>
      <w:pgMar w:top="1134"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F63"/>
    <w:rsid w:val="000F529F"/>
    <w:rsid w:val="001662A7"/>
    <w:rsid w:val="008119C6"/>
    <w:rsid w:val="00903F63"/>
    <w:rsid w:val="00960371"/>
    <w:rsid w:val="00AB27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15E28"/>
  <w15:chartTrackingRefBased/>
  <w15:docId w15:val="{7FEC5D89-9DFB-43B2-B634-BC001FBEC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03F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03F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03F6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03F6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03F6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03F6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03F6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03F6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03F6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3F6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03F6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03F6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03F6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03F6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03F6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03F63"/>
    <w:rPr>
      <w:rFonts w:eastAsiaTheme="majorEastAsia" w:cstheme="majorBidi"/>
      <w:color w:val="595959" w:themeColor="text1" w:themeTint="A6"/>
    </w:rPr>
  </w:style>
  <w:style w:type="character" w:customStyle="1" w:styleId="80">
    <w:name w:val="Заголовок 8 Знак"/>
    <w:basedOn w:val="a0"/>
    <w:link w:val="8"/>
    <w:uiPriority w:val="9"/>
    <w:semiHidden/>
    <w:rsid w:val="00903F6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03F63"/>
    <w:rPr>
      <w:rFonts w:eastAsiaTheme="majorEastAsia" w:cstheme="majorBidi"/>
      <w:color w:val="272727" w:themeColor="text1" w:themeTint="D8"/>
    </w:rPr>
  </w:style>
  <w:style w:type="paragraph" w:styleId="a3">
    <w:name w:val="Title"/>
    <w:basedOn w:val="a"/>
    <w:next w:val="a"/>
    <w:link w:val="a4"/>
    <w:uiPriority w:val="10"/>
    <w:qFormat/>
    <w:rsid w:val="00903F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03F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3F6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03F6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03F63"/>
    <w:pPr>
      <w:spacing w:before="160"/>
      <w:jc w:val="center"/>
    </w:pPr>
    <w:rPr>
      <w:i/>
      <w:iCs/>
      <w:color w:val="404040" w:themeColor="text1" w:themeTint="BF"/>
    </w:rPr>
  </w:style>
  <w:style w:type="character" w:customStyle="1" w:styleId="22">
    <w:name w:val="Цитата 2 Знак"/>
    <w:basedOn w:val="a0"/>
    <w:link w:val="21"/>
    <w:uiPriority w:val="29"/>
    <w:rsid w:val="00903F63"/>
    <w:rPr>
      <w:i/>
      <w:iCs/>
      <w:color w:val="404040" w:themeColor="text1" w:themeTint="BF"/>
    </w:rPr>
  </w:style>
  <w:style w:type="paragraph" w:styleId="a7">
    <w:name w:val="List Paragraph"/>
    <w:basedOn w:val="a"/>
    <w:uiPriority w:val="34"/>
    <w:qFormat/>
    <w:rsid w:val="00903F63"/>
    <w:pPr>
      <w:ind w:left="720"/>
      <w:contextualSpacing/>
    </w:pPr>
  </w:style>
  <w:style w:type="character" w:styleId="a8">
    <w:name w:val="Intense Emphasis"/>
    <w:basedOn w:val="a0"/>
    <w:uiPriority w:val="21"/>
    <w:qFormat/>
    <w:rsid w:val="00903F63"/>
    <w:rPr>
      <w:i/>
      <w:iCs/>
      <w:color w:val="2F5496" w:themeColor="accent1" w:themeShade="BF"/>
    </w:rPr>
  </w:style>
  <w:style w:type="paragraph" w:styleId="a9">
    <w:name w:val="Intense Quote"/>
    <w:basedOn w:val="a"/>
    <w:next w:val="a"/>
    <w:link w:val="aa"/>
    <w:uiPriority w:val="30"/>
    <w:qFormat/>
    <w:rsid w:val="00903F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03F63"/>
    <w:rPr>
      <w:i/>
      <w:iCs/>
      <w:color w:val="2F5496" w:themeColor="accent1" w:themeShade="BF"/>
    </w:rPr>
  </w:style>
  <w:style w:type="character" w:styleId="ab">
    <w:name w:val="Intense Reference"/>
    <w:basedOn w:val="a0"/>
    <w:uiPriority w:val="32"/>
    <w:qFormat/>
    <w:rsid w:val="00903F63"/>
    <w:rPr>
      <w:b/>
      <w:bCs/>
      <w:smallCaps/>
      <w:color w:val="2F5496" w:themeColor="accent1" w:themeShade="BF"/>
      <w:spacing w:val="5"/>
    </w:rPr>
  </w:style>
  <w:style w:type="character" w:styleId="ac">
    <w:name w:val="Hyperlink"/>
    <w:basedOn w:val="a0"/>
    <w:uiPriority w:val="99"/>
    <w:unhideWhenUsed/>
    <w:rsid w:val="00903F63"/>
    <w:rPr>
      <w:color w:val="0563C1" w:themeColor="hyperlink"/>
      <w:u w:val="single"/>
    </w:rPr>
  </w:style>
  <w:style w:type="character" w:styleId="ad">
    <w:name w:val="Unresolved Mention"/>
    <w:basedOn w:val="a0"/>
    <w:uiPriority w:val="99"/>
    <w:semiHidden/>
    <w:unhideWhenUsed/>
    <w:rsid w:val="00903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 В. Клыкова</dc:creator>
  <cp:keywords/>
  <dc:description/>
  <cp:lastModifiedBy>Вера В. Клыкова</cp:lastModifiedBy>
  <cp:revision>2</cp:revision>
  <dcterms:created xsi:type="dcterms:W3CDTF">2025-10-12T23:01:00Z</dcterms:created>
  <dcterms:modified xsi:type="dcterms:W3CDTF">2025-10-13T00:08:00Z</dcterms:modified>
</cp:coreProperties>
</file>