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C76F0">
      <w:pPr>
        <w:keepNext/>
        <w:keepLines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Руководство по соблюдению обязательных требований, оценка соблюдения которых является предметом муниципального жилищного контроля </w:t>
      </w:r>
    </w:p>
    <w:bookmarkEnd w:id="0"/>
    <w:p w14:paraId="30E9005B">
      <w:pPr>
        <w:keepNext/>
        <w:keepLines/>
        <w:jc w:val="center"/>
        <w:rPr>
          <w:rFonts w:ascii="Times New Roman" w:hAnsi="Times New Roman"/>
          <w:b/>
          <w:sz w:val="28"/>
          <w:szCs w:val="28"/>
        </w:rPr>
      </w:pPr>
    </w:p>
    <w:p w14:paraId="54E2CAE0">
      <w:pPr>
        <w:keepNext/>
        <w:keepLines/>
        <w:jc w:val="center"/>
        <w:rPr>
          <w:rFonts w:ascii="Times New Roman" w:hAnsi="Times New Roman"/>
          <w:b/>
          <w:sz w:val="28"/>
          <w:szCs w:val="28"/>
        </w:rPr>
      </w:pPr>
    </w:p>
    <w:p w14:paraId="4CA17231">
      <w:pPr>
        <w:pStyle w:val="2"/>
        <w:keepNext/>
        <w:keepLines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rStyle w:val="7"/>
          <w:b w:val="0"/>
          <w:sz w:val="28"/>
          <w:szCs w:val="28"/>
        </w:rPr>
        <w:t>Согласно статье 20 Жилищного кодекса Российской Федерации, п</w:t>
      </w:r>
      <w:r>
        <w:rPr>
          <w:b w:val="0"/>
          <w:sz w:val="28"/>
          <w:szCs w:val="28"/>
        </w:rPr>
        <w:t xml:space="preserve">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</w:p>
    <w:p w14:paraId="07AACD43">
      <w:pPr>
        <w:ind w:firstLine="54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отношениям, связанным с осуществлением муниципального жилищного контроля, организацией и проведением проверок юридических лиц, индивидуальных предпринимателей, применяются положения Федерального </w:t>
      </w:r>
      <w:r>
        <w:fldChar w:fldCharType="begin"/>
      </w:r>
      <w:r>
        <w:instrText xml:space="preserve"> HYPERLINK "http://www.consultant.ru/document/cons_doc_LAW_83079/" </w:instrText>
      </w:r>
      <w:r>
        <w:fldChar w:fldCharType="separate"/>
      </w:r>
      <w:r>
        <w:rPr>
          <w:rFonts w:ascii="Times New Roman" w:hAnsi="Times New Roman" w:eastAsia="Times New Roman"/>
          <w:sz w:val="28"/>
          <w:szCs w:val="28"/>
          <w:lang w:eastAsia="ru-RU"/>
        </w:rPr>
        <w:t>закона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от 31 июля 2020 года № 248-ФЗ «О государственном контроле (надзоре) и муниципальном контроле в Российской Федерации» (далее - </w:t>
      </w:r>
      <w:r>
        <w:rPr>
          <w:rFonts w:ascii="Times New Roman" w:hAnsi="Times New Roman" w:cs="Times New Roman"/>
          <w:sz w:val="28"/>
        </w:rPr>
        <w:t>Федеральный закон № 248-ФЗ)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.</w:t>
      </w:r>
    </w:p>
    <w:p w14:paraId="56A0033F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14:paraId="12097FB5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2E3C0D47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требований к формированию фондов капитального ремонта;</w:t>
      </w:r>
    </w:p>
    <w:p w14:paraId="1C9F1668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324F2AC6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A0B8311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DFE4ADF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135210E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186EAF3E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51C01162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51728E78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10) требований к обеспечению доступности для инвалидов помещений в многоквартирных домах;</w:t>
      </w:r>
    </w:p>
    <w:p w14:paraId="0C4DC1D2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11) требований к предоставлению жилых помещений в наемных домах социального использования.</w:t>
      </w:r>
    </w:p>
    <w:p w14:paraId="6C54E33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Объектом муниципального жилищного контроля являются объекты муниципального жилищного фонда.</w:t>
      </w:r>
    </w:p>
    <w:p w14:paraId="785A8D90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Внеплановые контрольные мероприятия проводятся в виде документарных и выездных проверок, инспекционного визита, наблюдения за соблюдением обязательных требований, выездного обследования.  </w:t>
      </w:r>
    </w:p>
    <w:p w14:paraId="6E73BB5A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D56EAEC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14:paraId="3CEC2CC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Основанием для проведения контрольных мероприятий в отношении граждан, юридических лиц и индивидуальных предпринимателей, проводимых с взаимодействием с контролируемыми лицами, является:</w:t>
      </w:r>
    </w:p>
    <w:p w14:paraId="18006C8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наличие у контрольного органа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4234754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07ACF6E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31668F4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2B1051F7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 xml:space="preserve">Контролируемое лицо в течение </w:t>
      </w:r>
      <w:r>
        <w:rPr>
          <w:rStyle w:val="7"/>
          <w:rFonts w:ascii="Times New Roman" w:hAnsi="Times New Roman" w:cs="Times New Roman"/>
          <w:sz w:val="28"/>
          <w:szCs w:val="28"/>
          <w:lang w:val="ru-RU"/>
        </w:rPr>
        <w:t>двадцати</w:t>
      </w:r>
      <w:r>
        <w:rPr>
          <w:rStyle w:val="7"/>
          <w:rFonts w:ascii="Times New Roman" w:hAnsi="Times New Roman" w:cs="Times New Roman"/>
          <w:sz w:val="28"/>
          <w:szCs w:val="28"/>
        </w:rPr>
        <w:t xml:space="preserve"> рабочих дней со дня получения предостережения вправе подать в Контрольный орган возражение в отношении предостережения.</w:t>
      </w:r>
    </w:p>
    <w:p w14:paraId="220C439D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В возражении указываются:</w:t>
      </w:r>
    </w:p>
    <w:p w14:paraId="292166AC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-наименование Контрольного органа, в который направляется возражение;</w:t>
      </w:r>
    </w:p>
    <w:p w14:paraId="77944655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-наименование юридического лица, либо фамилия, имя, отчество (при наличии) индивидуального предпринимателя или физического лица;</w:t>
      </w:r>
    </w:p>
    <w:p w14:paraId="00A4DBF0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-дата вынесения предостережения и его номер;</w:t>
      </w:r>
    </w:p>
    <w:p w14:paraId="2C5E0FBA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-должностное лицо контрольного органа, вынесшее предостережение;</w:t>
      </w:r>
    </w:p>
    <w:p w14:paraId="6085BCA3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-обоснование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14:paraId="23115E62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14:paraId="45BCC17E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либо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(далее – «единый портал»).</w:t>
      </w:r>
    </w:p>
    <w:p w14:paraId="43B0CF54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Возражение, содержащее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возражения орган без использования единого портала с учетом требований законодательства Российской Федерации о государственной и иной охраняемой законом тайне.</w:t>
      </w:r>
    </w:p>
    <w:p w14:paraId="5C1D1DDD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Возражение рассматривается Контрольным органом в течение 20 рабочих дней со дня регистрации возражения.</w:t>
      </w:r>
    </w:p>
    <w:p w14:paraId="2D3EB285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По результатам рассмотрения возражения Контрольный орган принимает одно из следующих решений:</w:t>
      </w:r>
    </w:p>
    <w:p w14:paraId="267F32E5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а) удовлетворяет возражение в форме отмены объявленного предостережения;</w:t>
      </w:r>
    </w:p>
    <w:p w14:paraId="6A2926EE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б) отказывает в удовлетворении возражения.</w:t>
      </w:r>
    </w:p>
    <w:p w14:paraId="3E63049A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контролируемому лицу, подавшему возражение, в письменной форме и по его желанию в электронной форме направляется мотивированный ответ о результатах рассмотрения возражения.</w:t>
      </w:r>
    </w:p>
    <w:p w14:paraId="43EBC8F0">
      <w:pPr>
        <w:autoSpaceDE w:val="0"/>
        <w:autoSpaceDN w:val="0"/>
        <w:adjustRightInd w:val="0"/>
        <w:ind w:firstLine="540"/>
        <w:jc w:val="both"/>
        <w:rPr>
          <w:rStyle w:val="7"/>
          <w:rFonts w:ascii="Times New Roman" w:hAnsi="Times New Roman" w:cs="Times New Roman"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>Досудебный порядок обжалования при осуществлении муниципального жилищного контроля не применяется.</w:t>
      </w:r>
    </w:p>
    <w:p w14:paraId="2AFDE0BA">
      <w:pPr>
        <w:autoSpaceDE w:val="0"/>
        <w:autoSpaceDN w:val="0"/>
        <w:adjustRightInd w:val="0"/>
        <w:ind w:firstLine="540"/>
        <w:jc w:val="both"/>
        <w:rPr>
          <w:rStyle w:val="7"/>
          <w:sz w:val="28"/>
          <w:szCs w:val="28"/>
        </w:rPr>
      </w:pPr>
    </w:p>
    <w:p w14:paraId="5D340FD2">
      <w:pPr>
        <w:autoSpaceDE w:val="0"/>
        <w:autoSpaceDN w:val="0"/>
        <w:adjustRightInd w:val="0"/>
        <w:ind w:firstLine="540"/>
        <w:jc w:val="center"/>
        <w:rPr>
          <w:rStyle w:val="7"/>
          <w:rFonts w:ascii="Times New Roman" w:hAnsi="Times New Roman" w:cs="Times New Roman"/>
          <w:b/>
          <w:sz w:val="28"/>
          <w:szCs w:val="32"/>
        </w:rPr>
      </w:pPr>
      <w:r>
        <w:rPr>
          <w:rStyle w:val="7"/>
          <w:rFonts w:ascii="Times New Roman" w:hAnsi="Times New Roman" w:cs="Times New Roman"/>
          <w:b/>
          <w:sz w:val="28"/>
          <w:szCs w:val="32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жилищному контролю</w:t>
      </w:r>
    </w:p>
    <w:p w14:paraId="7E8BDC7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eastAsia="Times New Roman" w:cs="Times New Roman"/>
          <w:sz w:val="24"/>
          <w:szCs w:val="28"/>
          <w:lang w:eastAsia="ru-RU"/>
        </w:rPr>
      </w:pPr>
    </w:p>
    <w:p w14:paraId="7852291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Жилищный кодекс Российской Федерации </w:t>
      </w:r>
      <w:r>
        <w:rPr>
          <w:rFonts w:ascii="Times New Roman" w:hAnsi="Times New Roman"/>
          <w:b w:val="0"/>
          <w:bCs/>
          <w:sz w:val="28"/>
          <w:szCs w:val="28"/>
        </w:rPr>
        <w:t>должен соблюдаться в полном объеме.</w:t>
      </w:r>
    </w:p>
    <w:p w14:paraId="2ECD4FE6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 Федеральный закон от 30.12.2009 № 384-ФЗ «Технический регламент о безопасности зданий и сооружений» </w:t>
      </w:r>
      <w:r>
        <w:rPr>
          <w:rFonts w:ascii="Times New Roman" w:hAnsi="Times New Roman"/>
          <w:b w:val="0"/>
          <w:bCs/>
          <w:sz w:val="28"/>
          <w:szCs w:val="28"/>
        </w:rPr>
        <w:t>должен соблюдаться в полном объеме.</w:t>
      </w:r>
    </w:p>
    <w:p w14:paraId="1697596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Постановление Правительства Российской Федерации от 13.08.2006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</w:t>
      </w:r>
      <w:r>
        <w:rPr>
          <w:rFonts w:ascii="Times New Roman" w:hAnsi="Times New Roman"/>
          <w:b w:val="0"/>
          <w:bCs/>
          <w:sz w:val="28"/>
          <w:szCs w:val="28"/>
        </w:rPr>
        <w:t>должно соблюдаться в полном объеме.</w:t>
      </w:r>
    </w:p>
    <w:p w14:paraId="47A0688F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Постановление Правительства Российской Федерации от 06.05.2011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№ 354 «О предоставлении коммунальных услуг собственникам и пользователям жилых помещений в многоквартирных домах и жилых домов» </w:t>
      </w:r>
      <w:r>
        <w:rPr>
          <w:rFonts w:ascii="Times New Roman" w:hAnsi="Times New Roman"/>
          <w:b w:val="0"/>
          <w:bCs/>
          <w:sz w:val="28"/>
          <w:szCs w:val="28"/>
        </w:rPr>
        <w:t>должно соблюдаться в полном объеме.</w:t>
      </w:r>
    </w:p>
    <w:p w14:paraId="21FA240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 Постановление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</w:t>
      </w:r>
      <w:r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 w:val="0"/>
          <w:bCs/>
          <w:sz w:val="28"/>
          <w:szCs w:val="28"/>
        </w:rPr>
        <w:t>олжно соблюдаться в полном объеме.</w:t>
      </w:r>
    </w:p>
    <w:p w14:paraId="2920538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6. Постановление Правительства Российской Федерации от 15.05.2013 № 416 «О порядке осуществления деятельности по управлению многоквартирными домами» должно соблюдаться в полном объеме.</w:t>
      </w:r>
    </w:p>
    <w:p w14:paraId="357E5918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7. Постановление Госстроя России от 27.09.2003 № 170 «Об утверждении Правил и норм технической эксплуатации жилищного фонда» должно соблюдаться в полном объеме.</w:t>
      </w:r>
    </w:p>
    <w:p w14:paraId="2973D039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14:paraId="0234A37D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16"/>
          <w:szCs w:val="16"/>
        </w:rPr>
      </w:pPr>
    </w:p>
    <w:p w14:paraId="7717F3AB">
      <w:pPr>
        <w:pStyle w:val="8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Административная ответственность</w:t>
      </w:r>
    </w:p>
    <w:p w14:paraId="64C8AE90">
      <w:pPr>
        <w:pStyle w:val="8"/>
        <w:jc w:val="center"/>
        <w:rPr>
          <w:rStyle w:val="7"/>
          <w:rFonts w:ascii="Times New Roman" w:hAnsi="Times New Roman"/>
          <w:b/>
          <w:sz w:val="28"/>
          <w:szCs w:val="32"/>
        </w:rPr>
      </w:pPr>
      <w:r>
        <w:rPr>
          <w:rStyle w:val="7"/>
          <w:rFonts w:ascii="Times New Roman" w:hAnsi="Times New Roman"/>
          <w:b/>
          <w:sz w:val="28"/>
          <w:szCs w:val="32"/>
        </w:rPr>
        <w:t xml:space="preserve">Кодекс Российской Федерации </w:t>
      </w:r>
    </w:p>
    <w:p w14:paraId="2BACEC1A">
      <w:pPr>
        <w:pStyle w:val="8"/>
        <w:jc w:val="center"/>
        <w:rPr>
          <w:rStyle w:val="7"/>
          <w:rFonts w:ascii="Times New Roman" w:hAnsi="Times New Roman"/>
          <w:b/>
          <w:color w:val="C00000"/>
          <w:sz w:val="28"/>
          <w:szCs w:val="28"/>
        </w:rPr>
      </w:pPr>
      <w:r>
        <w:rPr>
          <w:rStyle w:val="7"/>
          <w:rFonts w:ascii="Times New Roman" w:hAnsi="Times New Roman"/>
          <w:b/>
          <w:sz w:val="28"/>
          <w:szCs w:val="28"/>
        </w:rPr>
        <w:t>об административных правонарушениях:</w:t>
      </w:r>
    </w:p>
    <w:p w14:paraId="31DB0881">
      <w:pPr>
        <w:pStyle w:val="10"/>
        <w:ind w:left="0" w:firstLine="0"/>
        <w:jc w:val="center"/>
        <w:rPr>
          <w:rStyle w:val="7"/>
          <w:sz w:val="28"/>
          <w:szCs w:val="28"/>
        </w:rPr>
      </w:pPr>
    </w:p>
    <w:p w14:paraId="6B4DDD2D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7"/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татья 7.21.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Нарушение </w:t>
      </w:r>
      <w:r>
        <w:fldChar w:fldCharType="begin"/>
      </w:r>
      <w:r>
        <w:instrText xml:space="preserve"> HYPERLINK "garantF1://12044571.1000"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пользования жилыми помещениями.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Самовольные переустройство и (или) перепланировка помещения в многоквартирном доме;</w:t>
      </w:r>
    </w:p>
    <w:p w14:paraId="5ECE4905">
      <w:pPr>
        <w:pStyle w:val="10"/>
        <w:ind w:left="0" w:firstLine="540"/>
        <w:rPr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Style w:val="7"/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 xml:space="preserve">7.22. </w:t>
      </w:r>
      <w:r>
        <w:rPr>
          <w:sz w:val="28"/>
          <w:szCs w:val="28"/>
          <w:lang w:eastAsia="ru-RU"/>
        </w:rPr>
        <w:t>Нарушение правил содержания и ремонта жилых домов и (или) жилых помещений;</w:t>
      </w:r>
    </w:p>
    <w:p w14:paraId="6B31F127">
      <w:pPr>
        <w:pStyle w:val="10"/>
        <w:ind w:left="0" w:firstLine="540"/>
        <w:rPr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Style w:val="7"/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 xml:space="preserve">7.23. </w:t>
      </w:r>
      <w:r>
        <w:rPr>
          <w:sz w:val="28"/>
          <w:szCs w:val="28"/>
          <w:lang w:eastAsia="ru-RU"/>
        </w:rPr>
        <w:t>Нарушение нормативов обеспечения населения коммунальными услугами;</w:t>
      </w:r>
    </w:p>
    <w:p w14:paraId="6A5466CE">
      <w:pPr>
        <w:pStyle w:val="10"/>
        <w:ind w:left="0" w:firstLine="540"/>
        <w:rPr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Статья 7.23.2. </w:t>
      </w:r>
      <w:r>
        <w:rPr>
          <w:sz w:val="28"/>
          <w:szCs w:val="28"/>
          <w:lang w:eastAsia="ru-RU"/>
        </w:rPr>
        <w:t>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документов;</w:t>
      </w:r>
    </w:p>
    <w:p w14:paraId="764B800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Fonts w:ascii="Times New Roman" w:hAnsi="Times New Roman"/>
          <w:b/>
          <w:bCs/>
          <w:color w:val="26282F"/>
          <w:sz w:val="28"/>
          <w:szCs w:val="28"/>
          <w:lang w:eastAsia="ru-RU"/>
        </w:rPr>
        <w:t>Статья 7.23.3.</w:t>
      </w:r>
      <w:r>
        <w:rPr>
          <w:rFonts w:ascii="Times New Roman" w:hAnsi="Times New Roman"/>
          <w:sz w:val="28"/>
          <w:szCs w:val="28"/>
          <w:lang w:eastAsia="ru-RU"/>
        </w:rPr>
        <w:t xml:space="preserve"> Нарушение правил осуществления предпринимательской деятельности по управлению многоквартирными домами;</w:t>
      </w:r>
    </w:p>
    <w:p w14:paraId="7928D09A">
      <w:pPr>
        <w:pStyle w:val="10"/>
        <w:ind w:left="0" w:firstLine="540"/>
        <w:rPr>
          <w:sz w:val="28"/>
          <w:szCs w:val="28"/>
        </w:rPr>
      </w:pPr>
      <w:r>
        <w:rPr>
          <w:rStyle w:val="7"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Статья 9.16. </w:t>
      </w:r>
      <w:r>
        <w:rPr>
          <w:sz w:val="28"/>
          <w:szCs w:val="28"/>
          <w:lang w:eastAsia="ru-RU"/>
        </w:rPr>
        <w:t>Нарушение законодательства об энергосбережении и о повышении энергетической эффективности:</w:t>
      </w:r>
    </w:p>
    <w:p w14:paraId="525E9B33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часть 4. </w:t>
      </w:r>
      <w:r>
        <w:rPr>
          <w:rFonts w:ascii="Times New Roman" w:hAnsi="Times New Roman"/>
          <w:sz w:val="28"/>
          <w:szCs w:val="28"/>
          <w:lang w:eastAsia="ru-RU"/>
        </w:rPr>
        <w:t xml:space="preserve">Несоблюдение лицами, ответственными за содержание многоквартирных домов, </w:t>
      </w:r>
      <w:r>
        <w:fldChar w:fldCharType="begin"/>
      </w:r>
      <w:r>
        <w:instrText xml:space="preserve"> HYPERLINK "garantF1://12071109.11"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требований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энергетической эффективности, предъявляемых к многоквартирным домам, </w:t>
      </w:r>
      <w:r>
        <w:fldChar w:fldCharType="begin"/>
      </w:r>
      <w:r>
        <w:instrText xml:space="preserve"> HYPERLINK "garantF1://12071109.13" </w:instrText>
      </w:r>
      <w:r>
        <w:fldChar w:fldCharType="separate"/>
      </w:r>
      <w:r>
        <w:rPr>
          <w:rFonts w:ascii="Times New Roman" w:hAnsi="Times New Roman"/>
          <w:sz w:val="28"/>
          <w:szCs w:val="28"/>
          <w:lang w:eastAsia="ru-RU"/>
        </w:rPr>
        <w:t>требований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/>
          <w:sz w:val="28"/>
          <w:szCs w:val="28"/>
          <w:lang w:eastAsia="ru-RU"/>
        </w:rPr>
        <w:t xml:space="preserve"> их оснащенности приборами учета используемых энергетических ресурсов,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домах;</w:t>
      </w:r>
    </w:p>
    <w:p w14:paraId="23DB2952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часть 5. </w:t>
      </w:r>
      <w:r>
        <w:rPr>
          <w:rFonts w:ascii="Times New Roman" w:hAnsi="Times New Roman"/>
          <w:sz w:val="28"/>
          <w:szCs w:val="28"/>
          <w:lang w:eastAsia="ru-RU"/>
        </w:rPr>
        <w:t>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домах;</w:t>
      </w:r>
    </w:p>
    <w:p w14:paraId="424445CE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 xml:space="preserve">часть 12. </w:t>
      </w:r>
      <w:r>
        <w:rPr>
          <w:rFonts w:ascii="Times New Roman" w:hAnsi="Times New Roman"/>
          <w:sz w:val="28"/>
          <w:szCs w:val="28"/>
          <w:lang w:eastAsia="ru-RU"/>
        </w:rPr>
        <w:t>Необоснованный отказ или уклонение организации, обязанной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от заключения соответствующего договора и (или) от его исполнения,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установке, о замене, об эксплуатации приборов учета используемых энергетических ресурсов;</w:t>
      </w:r>
    </w:p>
    <w:p w14:paraId="120F5DD4">
      <w:pPr>
        <w:pStyle w:val="10"/>
        <w:ind w:left="0" w:firstLine="540"/>
        <w:rPr>
          <w:sz w:val="28"/>
          <w:szCs w:val="28"/>
        </w:rPr>
      </w:pPr>
      <w:r>
        <w:rPr>
          <w:rStyle w:val="7"/>
          <w:sz w:val="28"/>
          <w:szCs w:val="28"/>
        </w:rPr>
        <w:t xml:space="preserve">- </w:t>
      </w:r>
      <w:r>
        <w:rPr>
          <w:rStyle w:val="7"/>
          <w:b/>
          <w:sz w:val="28"/>
          <w:szCs w:val="28"/>
        </w:rPr>
        <w:t>Статья 9.23</w:t>
      </w:r>
      <w:r>
        <w:rPr>
          <w:sz w:val="28"/>
          <w:szCs w:val="28"/>
        </w:rPr>
        <w:t>. Нарушение правил обеспечения безопасного использования и содержания внутридомового и внутриквартирного газового оборудования;</w:t>
      </w:r>
    </w:p>
    <w:p w14:paraId="745A12D2">
      <w:pPr>
        <w:pStyle w:val="10"/>
        <w:ind w:left="0" w:firstLine="540"/>
        <w:rPr>
          <w:sz w:val="28"/>
          <w:szCs w:val="28"/>
          <w:lang w:eastAsia="ru-RU"/>
        </w:rPr>
      </w:pPr>
      <w:r>
        <w:rPr>
          <w:rStyle w:val="7"/>
          <w:sz w:val="28"/>
          <w:szCs w:val="28"/>
        </w:rPr>
        <w:t xml:space="preserve">- </w:t>
      </w:r>
      <w:r>
        <w:rPr>
          <w:rStyle w:val="7"/>
          <w:b/>
          <w:sz w:val="28"/>
          <w:szCs w:val="28"/>
        </w:rPr>
        <w:t>Статья 13.19.2</w:t>
      </w:r>
      <w:r>
        <w:rPr>
          <w:sz w:val="28"/>
          <w:szCs w:val="28"/>
          <w:lang w:eastAsia="ru-RU"/>
        </w:rPr>
        <w:t>. Неразмещение информации, размещение информации не в полном объеме или размещение недостоверной информации в государственной информационной системе жилищно-коммунального хозяйства;</w:t>
      </w:r>
    </w:p>
    <w:p w14:paraId="631646DF">
      <w:pPr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7"/>
          <w:rFonts w:ascii="Times New Roman" w:hAnsi="Times New Roman" w:cs="Times New Roman"/>
          <w:b/>
          <w:sz w:val="28"/>
          <w:szCs w:val="28"/>
        </w:rPr>
        <w:t xml:space="preserve">Статья 19.4.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;</w:t>
      </w:r>
    </w:p>
    <w:p w14:paraId="6FF91387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7"/>
          <w:rFonts w:ascii="Times New Roman" w:hAnsi="Times New Roman" w:cs="Times New Roman"/>
          <w:b/>
          <w:sz w:val="28"/>
          <w:szCs w:val="28"/>
        </w:rPr>
        <w:t xml:space="preserve">Статья 19.4.1. </w:t>
      </w:r>
      <w:r>
        <w:rPr>
          <w:rStyle w:val="7"/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контроля;</w:t>
      </w:r>
    </w:p>
    <w:p w14:paraId="1D2EFE7C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7"/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7"/>
          <w:rFonts w:ascii="Times New Roman" w:hAnsi="Times New Roman" w:cs="Times New Roman"/>
          <w:b/>
          <w:sz w:val="28"/>
          <w:szCs w:val="28"/>
        </w:rPr>
        <w:t xml:space="preserve">Статья 19.5. </w:t>
      </w:r>
      <w:r>
        <w:rPr>
          <w:rStyle w:val="7"/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лица),органа (должностного лица), осуществляющего муниципальный контроль;</w:t>
      </w:r>
    </w:p>
    <w:p w14:paraId="653572C5">
      <w:pPr>
        <w:pStyle w:val="8"/>
        <w:ind w:firstLine="540"/>
        <w:jc w:val="both"/>
        <w:rPr>
          <w:rStyle w:val="7"/>
          <w:rFonts w:ascii="Times New Roman" w:hAnsi="Times New Roman"/>
          <w:sz w:val="28"/>
          <w:szCs w:val="28"/>
        </w:rPr>
      </w:pPr>
      <w:r>
        <w:rPr>
          <w:rStyle w:val="7"/>
          <w:rFonts w:ascii="Times New Roman" w:hAnsi="Times New Roman"/>
          <w:sz w:val="28"/>
          <w:szCs w:val="28"/>
        </w:rPr>
        <w:t xml:space="preserve">-  </w:t>
      </w:r>
      <w:r>
        <w:rPr>
          <w:rStyle w:val="7"/>
          <w:rFonts w:ascii="Times New Roman" w:hAnsi="Times New Roman"/>
          <w:b/>
          <w:sz w:val="28"/>
          <w:szCs w:val="28"/>
        </w:rPr>
        <w:t>Статья 19.7.</w:t>
      </w:r>
      <w:r>
        <w:rPr>
          <w:rStyle w:val="7"/>
          <w:rFonts w:ascii="Times New Roman" w:hAnsi="Times New Roman"/>
          <w:sz w:val="28"/>
          <w:szCs w:val="28"/>
        </w:rPr>
        <w:t xml:space="preserve"> Непредставление сведений (информации).</w:t>
      </w:r>
    </w:p>
    <w:p w14:paraId="5B87D27C">
      <w:pPr>
        <w:pStyle w:val="8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0AF6ED7F">
      <w:pPr>
        <w:pStyle w:val="8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Перечень правовых актов, соблюдение которых обязательно</w:t>
      </w:r>
    </w:p>
    <w:p w14:paraId="2840B8E1">
      <w:pPr>
        <w:pStyle w:val="8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 при рассмотрении обращении граждан лицами,</w:t>
      </w:r>
    </w:p>
    <w:p w14:paraId="141D4554">
      <w:pPr>
        <w:pStyle w:val="8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осуществляющими управление многоквартирными домами  </w:t>
      </w:r>
    </w:p>
    <w:p w14:paraId="7E53E82F">
      <w:pPr>
        <w:pStyle w:val="8"/>
        <w:jc w:val="both"/>
        <w:rPr>
          <w:rFonts w:ascii="Times New Roman" w:hAnsi="Times New Roman"/>
          <w:sz w:val="14"/>
          <w:szCs w:val="16"/>
        </w:rPr>
      </w:pPr>
    </w:p>
    <w:p w14:paraId="6FE55E0E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действующем законодательством, при работе с обращениями граждан, жителями многоквартирных домов управляющие организации, ТСЖ и жилищные кооперативы руководствуются следующими нормативными правовыми актами: </w:t>
      </w:r>
    </w:p>
    <w:p w14:paraId="0EF802B6">
      <w:pPr>
        <w:pStyle w:val="8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Жилищный кодекс Российской Федерации;</w:t>
      </w:r>
    </w:p>
    <w:p w14:paraId="48832A0B">
      <w:pPr>
        <w:pStyle w:val="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Закон Российской Федерации  № 2300-1 от 07.02.1992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«О защите прав потребителей»; </w:t>
      </w:r>
    </w:p>
    <w:p w14:paraId="3F4B67FC">
      <w:pPr>
        <w:pStyle w:val="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33A7A5CE">
      <w:pPr>
        <w:pStyle w:val="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Правительства РФ от 15 мая 2013 г. № 416 «О порядке осуществления деятельности по управлению многоквартирными домами»;</w:t>
      </w:r>
    </w:p>
    <w:p w14:paraId="4836E408">
      <w:pPr>
        <w:pStyle w:val="8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bCs/>
          <w:kern w:val="36"/>
          <w:sz w:val="28"/>
          <w:szCs w:val="28"/>
        </w:rPr>
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домов»;</w:t>
      </w:r>
    </w:p>
    <w:p w14:paraId="4B0D97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36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Приказ Министерства связи и массовых коммуникаций РФ № 74 и Министерства строительства и жилищно-коммунального хозяйства РФ  № 114/пр от 29 февраля 2016 г. «Об утверждении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хозяйства».</w:t>
      </w:r>
    </w:p>
    <w:p w14:paraId="745CC23D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Пункты указанных нормативно-правовых актов устанавливают конкретные сроки для каждой группы обращений жителей многоквартирных домов в управляющую организацию, ТСЖ или ЖК/ЖСК. </w:t>
      </w:r>
    </w:p>
    <w:p w14:paraId="77F84A38">
      <w:pPr>
        <w:pStyle w:val="8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370C4BBF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Алгоритм действий управляющей организации, ТСЖ/ЖСК/ЖК при получении обращения состоит из следующих этапов: </w:t>
      </w:r>
    </w:p>
    <w:p w14:paraId="297975E7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обращения (заявления, жалобы, претензии, запроса) в устной или письменной форме;</w:t>
      </w:r>
    </w:p>
    <w:p w14:paraId="759AA728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регистрация поступившего запроса в журнале регистрации входящих обращений;</w:t>
      </w:r>
    </w:p>
    <w:p w14:paraId="7B310838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рассмотрение обращения, назначение исполнителя и срока ответа в зависимости от темы запроса и статуса заявителя (собственник/наниматель/стороннее лицо);</w:t>
      </w:r>
    </w:p>
    <w:p w14:paraId="21A8B7B5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направление ответа заявителю по тому каналу связи, который он указал в обращении, а если заявитель не указал, каким способом хочет получить ответ, по тому каналу связи, по которому обращение было принято;</w:t>
      </w:r>
    </w:p>
    <w:p w14:paraId="4E49E33C">
      <w:pPr>
        <w:pStyle w:val="8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хранение запросов и копий ответов на них в течение трёх лет со дня регистрации (п. 38 ПП РФ № 416 от 15.05.2013).</w:t>
      </w:r>
    </w:p>
    <w:p w14:paraId="07375A3F">
      <w:pPr>
        <w:pStyle w:val="8"/>
        <w:jc w:val="both"/>
        <w:rPr>
          <w:rFonts w:ascii="Times New Roman" w:hAnsi="Times New Roman"/>
          <w:b/>
          <w:sz w:val="20"/>
          <w:szCs w:val="20"/>
        </w:rPr>
      </w:pPr>
      <w:r>
        <w:rPr>
          <w:rStyle w:val="6"/>
          <w:rFonts w:ascii="Times New Roman" w:hAnsi="Times New Roman"/>
          <w:sz w:val="28"/>
          <w:szCs w:val="28"/>
        </w:rPr>
        <w:tab/>
      </w:r>
    </w:p>
    <w:sectPr>
      <w:pgSz w:w="11906" w:h="16838"/>
      <w:pgMar w:top="851" w:right="567" w:bottom="851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0A6961"/>
    <w:multiLevelType w:val="multilevel"/>
    <w:tmpl w:val="1F0A6961"/>
    <w:lvl w:ilvl="0" w:tentative="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14"/>
    <w:rsid w:val="000478DC"/>
    <w:rsid w:val="00076A50"/>
    <w:rsid w:val="00076D5E"/>
    <w:rsid w:val="000C5A66"/>
    <w:rsid w:val="00190E54"/>
    <w:rsid w:val="00214014"/>
    <w:rsid w:val="002933EB"/>
    <w:rsid w:val="0036521B"/>
    <w:rsid w:val="003C73FB"/>
    <w:rsid w:val="00424355"/>
    <w:rsid w:val="005035B9"/>
    <w:rsid w:val="005809BD"/>
    <w:rsid w:val="006667F6"/>
    <w:rsid w:val="00694E2F"/>
    <w:rsid w:val="006A3E86"/>
    <w:rsid w:val="006A5F9E"/>
    <w:rsid w:val="00712B94"/>
    <w:rsid w:val="00716612"/>
    <w:rsid w:val="00737D2E"/>
    <w:rsid w:val="008738BD"/>
    <w:rsid w:val="008F6EF1"/>
    <w:rsid w:val="009C6EEF"/>
    <w:rsid w:val="00B0166D"/>
    <w:rsid w:val="00BE1A4E"/>
    <w:rsid w:val="00C0214F"/>
    <w:rsid w:val="00C56BDA"/>
    <w:rsid w:val="00D216DD"/>
    <w:rsid w:val="00D6266D"/>
    <w:rsid w:val="00E0148E"/>
    <w:rsid w:val="00E03E93"/>
    <w:rsid w:val="00EE30EB"/>
    <w:rsid w:val="00F2686D"/>
    <w:rsid w:val="00F420F0"/>
    <w:rsid w:val="00F5157D"/>
    <w:rsid w:val="169923F2"/>
    <w:rsid w:val="508E3F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ind w:firstLine="709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/>
      <w:ind w:firstLine="0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/>
      <w:u w:val="single"/>
    </w:rPr>
  </w:style>
  <w:style w:type="character" w:styleId="6">
    <w:name w:val="Strong"/>
    <w:qFormat/>
    <w:uiPriority w:val="22"/>
    <w:rPr>
      <w:b/>
      <w:bCs/>
    </w:rPr>
  </w:style>
  <w:style w:type="character" w:customStyle="1" w:styleId="7">
    <w:name w:val="hl"/>
    <w:basedOn w:val="3"/>
    <w:qFormat/>
    <w:uiPriority w:val="0"/>
  </w:style>
  <w:style w:type="paragraph" w:styleId="8">
    <w:name w:val="No Spacing"/>
    <w:qFormat/>
    <w:uiPriority w:val="1"/>
    <w:pPr>
      <w:ind w:firstLine="0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9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10">
    <w:name w:val="Заголовок статьи"/>
    <w:basedOn w:val="1"/>
    <w:next w:val="1"/>
    <w:uiPriority w:val="99"/>
    <w:pPr>
      <w:autoSpaceDE w:val="0"/>
      <w:autoSpaceDN w:val="0"/>
      <w:adjustRightInd w:val="0"/>
      <w:ind w:left="1612" w:hanging="892"/>
      <w:jc w:val="both"/>
    </w:pPr>
    <w:rPr>
      <w:rFonts w:ascii="Times New Roman" w:hAnsi="Times New Roman" w:eastAsia="Calibri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2546</Words>
  <Characters>14513</Characters>
  <Lines>120</Lines>
  <Paragraphs>34</Paragraphs>
  <TotalTime>46</TotalTime>
  <ScaleCrop>false</ScaleCrop>
  <LinksUpToDate>false</LinksUpToDate>
  <CharactersWithSpaces>17025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2022-08-09T09:15:00Z</dcterms:created>
  <dc:creator>Блюмский Сергей Михайлович</dc:creator>
  <cp:lastModifiedBy>MehovskiyVV</cp:lastModifiedBy>
  <cp:lastPrinted>2022-03-17T02:27:00Z</cp:lastPrinted>
  <dcterms:modified xsi:type="dcterms:W3CDTF">2024-07-05T02:31:38Z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165C4E4A530A4288B05078A55C684A9F_13</vt:lpwstr>
  </property>
</Properties>
</file>