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BFB37">
      <w:pPr>
        <w:pStyle w:val="11"/>
        <w:tabs>
          <w:tab w:val="left" w:pos="8080"/>
        </w:tabs>
        <w:ind w:right="82"/>
        <w:rPr>
          <w:bCs/>
          <w:sz w:val="26"/>
          <w:szCs w:val="26"/>
        </w:rPr>
      </w:pPr>
      <w:r>
        <w:rPr>
          <w:bCs/>
          <w:sz w:val="26"/>
          <w:szCs w:val="26"/>
        </w:rPr>
        <w:t>УВЕДОМЛЕНИЕ</w:t>
      </w:r>
    </w:p>
    <w:p w14:paraId="412B306E">
      <w:pPr>
        <w:pStyle w:val="11"/>
        <w:tabs>
          <w:tab w:val="left" w:pos="8080"/>
        </w:tabs>
        <w:ind w:right="82"/>
        <w:rPr>
          <w:rFonts w:hint="default"/>
          <w:b w:val="0"/>
          <w:sz w:val="26"/>
          <w:szCs w:val="26"/>
          <w:lang w:val="ru-RU"/>
        </w:rPr>
      </w:pPr>
      <w:r>
        <w:rPr>
          <w:bCs/>
          <w:sz w:val="26"/>
          <w:szCs w:val="26"/>
        </w:rPr>
        <w:t>о сроках проведения оценки обеспечения готовности к отопительному периоду 2025-2026 годов на территории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Анучинского</w:t>
      </w:r>
      <w:r>
        <w:rPr>
          <w:rFonts w:hint="default"/>
          <w:sz w:val="26"/>
          <w:szCs w:val="26"/>
          <w:lang w:val="ru-RU"/>
        </w:rPr>
        <w:t xml:space="preserve"> муниципального о</w:t>
      </w:r>
      <w:r>
        <w:rPr>
          <w:sz w:val="26"/>
          <w:szCs w:val="26"/>
        </w:rPr>
        <w:t>круга</w:t>
      </w:r>
      <w:r>
        <w:rPr>
          <w:rFonts w:hint="default"/>
          <w:sz w:val="26"/>
          <w:szCs w:val="26"/>
          <w:lang w:val="ru-RU"/>
        </w:rPr>
        <w:t xml:space="preserve"> Приморского края ,08.08.2025г.</w:t>
      </w:r>
    </w:p>
    <w:p w14:paraId="4BC75AE8">
      <w:pPr>
        <w:pStyle w:val="11"/>
        <w:tabs>
          <w:tab w:val="left" w:pos="8080"/>
        </w:tabs>
        <w:ind w:right="82"/>
        <w:rPr>
          <w:b w:val="0"/>
          <w:sz w:val="26"/>
          <w:szCs w:val="26"/>
        </w:rPr>
      </w:pPr>
    </w:p>
    <w:p w14:paraId="5A2FE6F1">
      <w:pPr>
        <w:pStyle w:val="11"/>
        <w:tabs>
          <w:tab w:val="left" w:pos="8080"/>
        </w:tabs>
        <w:ind w:right="82"/>
        <w:rPr>
          <w:b w:val="0"/>
          <w:sz w:val="26"/>
          <w:szCs w:val="26"/>
        </w:rPr>
      </w:pPr>
    </w:p>
    <w:p w14:paraId="5CDF4CB9">
      <w:pPr>
        <w:shd w:val="clear" w:color="auto" w:fill="FFFFFF"/>
        <w:spacing w:line="276" w:lineRule="auto"/>
        <w:ind w:firstLine="624"/>
        <w:jc w:val="both"/>
        <w:rPr>
          <w:rFonts w:hint="default"/>
          <w:b w:val="0"/>
          <w:bCs w:val="0"/>
          <w:sz w:val="28"/>
          <w:szCs w:val="28"/>
          <w:lang w:val="ru-RU"/>
        </w:rPr>
      </w:pPr>
      <w:bookmarkStart w:id="0" w:name="_Hlk206002207"/>
      <w:r>
        <w:rPr>
          <w:sz w:val="28"/>
          <w:szCs w:val="28"/>
        </w:rPr>
        <w:t xml:space="preserve">В соответствии с п. 7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\l "Par377" \o "ПОРЯДОК"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Порядк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а проведения оценки обеспечения готовности к отопительному периоду, </w:t>
      </w:r>
      <w:r>
        <w:rPr>
          <w:sz w:val="28"/>
          <w:szCs w:val="28"/>
          <w:lang w:val="ru-RU"/>
        </w:rPr>
        <w:t>утверждённым</w:t>
      </w:r>
      <w:r>
        <w:rPr>
          <w:sz w:val="28"/>
          <w:szCs w:val="28"/>
        </w:rPr>
        <w:t xml:space="preserve"> приказом Министерства энергетики Российской Федерации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(далее – Приказ, Порядок, Правила), комиссия по проведению оценки</w:t>
      </w:r>
      <w:r>
        <w:rPr>
          <w:rFonts w:hint="default"/>
          <w:sz w:val="28"/>
          <w:szCs w:val="28"/>
          <w:lang w:val="ru-RU"/>
        </w:rPr>
        <w:t xml:space="preserve"> обеспечения готовности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>утверждённая</w:t>
      </w:r>
      <w:r>
        <w:rPr>
          <w:sz w:val="28"/>
          <w:szCs w:val="28"/>
        </w:rPr>
        <w:t xml:space="preserve"> постановлением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МО</w:t>
      </w:r>
      <w:r>
        <w:rPr>
          <w:sz w:val="28"/>
          <w:szCs w:val="28"/>
        </w:rPr>
        <w:t xml:space="preserve"> от 0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>.0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.2025 № </w:t>
      </w:r>
      <w:r>
        <w:rPr>
          <w:rFonts w:hint="default"/>
          <w:sz w:val="28"/>
          <w:szCs w:val="28"/>
          <w:lang w:val="ru-RU"/>
        </w:rPr>
        <w:t>690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«</w:t>
      </w:r>
      <w:r>
        <w:rPr>
          <w:b w:val="0"/>
          <w:bCs w:val="0"/>
          <w:sz w:val="28"/>
          <w:szCs w:val="28"/>
        </w:rPr>
        <w:t xml:space="preserve">О создании комиссии по проведению оценки обеспечения готовности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и утверждении Положения о комиссии по  </w:t>
      </w:r>
      <w:r>
        <w:rPr>
          <w:b w:val="0"/>
          <w:bCs w:val="0"/>
          <w:color w:val="000000"/>
          <w:spacing w:val="-1"/>
          <w:sz w:val="28"/>
          <w:szCs w:val="28"/>
        </w:rPr>
        <w:t>проведени</w:t>
      </w:r>
      <w:r>
        <w:rPr>
          <w:b w:val="0"/>
          <w:bCs w:val="0"/>
          <w:color w:val="000000"/>
          <w:spacing w:val="-1"/>
          <w:sz w:val="28"/>
          <w:szCs w:val="28"/>
          <w:lang w:val="ru-RU"/>
        </w:rPr>
        <w:t>ю</w:t>
      </w:r>
      <w:r>
        <w:rPr>
          <w:b w:val="0"/>
          <w:bCs w:val="0"/>
          <w:color w:val="000000"/>
          <w:spacing w:val="-1"/>
          <w:sz w:val="28"/>
          <w:szCs w:val="28"/>
        </w:rPr>
        <w:t xml:space="preserve"> проверки готовности </w:t>
      </w:r>
      <w:r>
        <w:rPr>
          <w:b w:val="0"/>
          <w:bCs w:val="0"/>
          <w:color w:val="000000"/>
          <w:sz w:val="28"/>
          <w:szCs w:val="28"/>
        </w:rPr>
        <w:t xml:space="preserve"> потребителей тепловой энергии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,</w:t>
      </w:r>
      <w:r>
        <w:rPr>
          <w:b w:val="0"/>
          <w:bCs w:val="0"/>
          <w:color w:val="000000"/>
          <w:sz w:val="28"/>
          <w:szCs w:val="28"/>
        </w:rPr>
        <w:t>теплоснабжающих организаций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 xml:space="preserve">к отопительному периоду </w:t>
      </w:r>
      <w:r>
        <w:rPr>
          <w:b w:val="0"/>
          <w:bCs w:val="0"/>
          <w:color w:val="000000"/>
          <w:sz w:val="28"/>
          <w:szCs w:val="28"/>
        </w:rPr>
        <w:t xml:space="preserve">на территории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  <w:lang w:val="ru-RU"/>
        </w:rPr>
        <w:t>Анучинского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муниципального округа Приморского края»уведомляет о начале  проведения оценки готовности к отопительному периоду 2025-2026гг.</w:t>
      </w:r>
    </w:p>
    <w:p w14:paraId="6AC6BAEB">
      <w:pPr>
        <w:shd w:val="clear" w:color="auto" w:fill="FFFFFF"/>
        <w:spacing w:line="276" w:lineRule="auto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Сроки проведения оценки:</w:t>
      </w:r>
    </w:p>
    <w:p w14:paraId="7847C498">
      <w:pPr>
        <w:shd w:val="clear" w:color="auto" w:fill="FFFFFF"/>
        <w:spacing w:line="276" w:lineRule="auto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проверка объектов</w:t>
      </w:r>
      <w:r>
        <w:rPr>
          <w:rFonts w:hint="default"/>
          <w:sz w:val="28"/>
          <w:szCs w:val="28"/>
          <w:lang w:val="ru-RU"/>
        </w:rPr>
        <w:t xml:space="preserve"> теплоснабжающих организаций</w:t>
      </w:r>
      <w:r>
        <w:rPr>
          <w:sz w:val="28"/>
          <w:szCs w:val="28"/>
        </w:rPr>
        <w:t xml:space="preserve"> теплового района «А</w:t>
      </w:r>
      <w:r>
        <w:rPr>
          <w:sz w:val="28"/>
          <w:szCs w:val="28"/>
          <w:lang w:val="ru-RU"/>
        </w:rPr>
        <w:t>нучинский</w:t>
      </w:r>
      <w:r>
        <w:rPr>
          <w:sz w:val="28"/>
          <w:szCs w:val="28"/>
        </w:rPr>
        <w:t xml:space="preserve">» </w:t>
      </w:r>
      <w:bookmarkStart w:id="1" w:name="_GoBack"/>
      <w:bookmarkEnd w:id="1"/>
      <w:r>
        <w:rPr>
          <w:sz w:val="28"/>
          <w:szCs w:val="28"/>
        </w:rPr>
        <w:t>Арсеньевского филиала КГУП «Примтеплоэнерго» с 1</w:t>
      </w:r>
      <w:r>
        <w:rPr>
          <w:rFonts w:hint="default"/>
          <w:sz w:val="28"/>
          <w:szCs w:val="28"/>
          <w:lang w:val="ru-RU"/>
        </w:rPr>
        <w:t>0</w:t>
      </w:r>
      <w:r>
        <w:rPr>
          <w:sz w:val="28"/>
          <w:szCs w:val="28"/>
        </w:rPr>
        <w:t xml:space="preserve">.09.2025 по </w:t>
      </w:r>
      <w:r>
        <w:rPr>
          <w:rFonts w:hint="default"/>
          <w:sz w:val="28"/>
          <w:szCs w:val="28"/>
          <w:lang w:val="ru-RU"/>
        </w:rPr>
        <w:t>30</w:t>
      </w:r>
      <w:r>
        <w:rPr>
          <w:sz w:val="28"/>
          <w:szCs w:val="28"/>
        </w:rPr>
        <w:t>.09.2025;</w:t>
      </w:r>
    </w:p>
    <w:p w14:paraId="018855A9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- проверка потребителей тепловой энергии - с 01.0</w:t>
      </w:r>
      <w:r>
        <w:rPr>
          <w:rFonts w:hint="default"/>
          <w:sz w:val="28"/>
          <w:szCs w:val="28"/>
          <w:lang w:val="ru-RU"/>
        </w:rPr>
        <w:t>9</w:t>
      </w:r>
      <w:r>
        <w:rPr>
          <w:sz w:val="28"/>
          <w:szCs w:val="28"/>
        </w:rPr>
        <w:t>.2025 по 1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.09.2025.</w:t>
      </w:r>
    </w:p>
    <w:p w14:paraId="0D775E4C">
      <w:pPr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b w:val="0"/>
          <w:sz w:val="28"/>
          <w:szCs w:val="28"/>
        </w:rPr>
        <w:t xml:space="preserve"> Программ</w:t>
      </w:r>
      <w:r>
        <w:rPr>
          <w:b w:val="0"/>
          <w:sz w:val="28"/>
          <w:szCs w:val="28"/>
          <w:lang w:val="ru-RU"/>
        </w:rPr>
        <w:t>а</w:t>
      </w:r>
      <w:r>
        <w:rPr>
          <w:b w:val="0"/>
          <w:sz w:val="28"/>
          <w:szCs w:val="28"/>
        </w:rPr>
        <w:t xml:space="preserve"> проведения оценки обеспечения готовности к отопительному периоду 2025-2026 годов теплоснабжающей организации и потребителей тепловой энергии </w:t>
      </w:r>
      <w:r>
        <w:rPr>
          <w:b w:val="0"/>
          <w:color w:val="000000"/>
          <w:sz w:val="28"/>
          <w:szCs w:val="28"/>
          <w:lang w:val="ru-RU"/>
        </w:rPr>
        <w:t>Анучинского</w:t>
      </w:r>
      <w:r>
        <w:rPr>
          <w:rFonts w:hint="default"/>
          <w:b w:val="0"/>
          <w:color w:val="000000"/>
          <w:sz w:val="28"/>
          <w:szCs w:val="28"/>
          <w:lang w:val="ru-RU"/>
        </w:rPr>
        <w:t xml:space="preserve"> МО</w:t>
      </w:r>
      <w:r>
        <w:rPr>
          <w:b w:val="0"/>
          <w:color w:val="000000"/>
          <w:sz w:val="28"/>
          <w:szCs w:val="28"/>
        </w:rPr>
        <w:t>, утвержденн</w:t>
      </w:r>
      <w:r>
        <w:rPr>
          <w:b w:val="0"/>
          <w:color w:val="000000"/>
          <w:sz w:val="28"/>
          <w:szCs w:val="28"/>
          <w:lang w:val="ru-RU"/>
        </w:rPr>
        <w:t>ая</w:t>
      </w:r>
      <w:r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 xml:space="preserve">постановлением администрации </w:t>
      </w:r>
      <w:r>
        <w:rPr>
          <w:b w:val="0"/>
          <w:bCs/>
          <w:sz w:val="28"/>
          <w:szCs w:val="28"/>
          <w:lang w:val="ru-RU"/>
        </w:rPr>
        <w:t>Анучинского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МО</w:t>
      </w:r>
      <w:r>
        <w:rPr>
          <w:b w:val="0"/>
          <w:bCs/>
          <w:sz w:val="28"/>
          <w:szCs w:val="28"/>
        </w:rPr>
        <w:t xml:space="preserve"> от 0</w:t>
      </w:r>
      <w:r>
        <w:rPr>
          <w:rFonts w:hint="default"/>
          <w:b w:val="0"/>
          <w:bCs/>
          <w:sz w:val="28"/>
          <w:szCs w:val="28"/>
          <w:lang w:val="ru-RU"/>
        </w:rPr>
        <w:t>8</w:t>
      </w:r>
      <w:r>
        <w:rPr>
          <w:b w:val="0"/>
          <w:bCs/>
          <w:sz w:val="28"/>
          <w:szCs w:val="28"/>
        </w:rPr>
        <w:t xml:space="preserve">.08.2025 № </w:t>
      </w:r>
      <w:r>
        <w:rPr>
          <w:rFonts w:hint="default"/>
          <w:b w:val="0"/>
          <w:bCs/>
          <w:sz w:val="28"/>
          <w:szCs w:val="28"/>
          <w:lang w:val="ru-RU"/>
        </w:rPr>
        <w:t>691 «</w:t>
      </w:r>
      <w:r>
        <w:rPr>
          <w:b w:val="0"/>
          <w:bCs w:val="0"/>
          <w:sz w:val="28"/>
          <w:szCs w:val="28"/>
        </w:rPr>
        <w:t>О</w:t>
      </w:r>
      <w:r>
        <w:rPr>
          <w:b w:val="0"/>
          <w:bCs w:val="0"/>
          <w:sz w:val="28"/>
          <w:szCs w:val="28"/>
          <w:lang w:val="ru-RU"/>
        </w:rPr>
        <w:t>б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утверждении программы </w:t>
      </w:r>
      <w:r>
        <w:rPr>
          <w:b w:val="0"/>
          <w:bCs w:val="0"/>
          <w:color w:val="000000"/>
          <w:spacing w:val="-1"/>
          <w:sz w:val="28"/>
          <w:szCs w:val="28"/>
        </w:rPr>
        <w:t xml:space="preserve">проведения </w:t>
      </w:r>
      <w:r>
        <w:rPr>
          <w:rFonts w:hint="default"/>
          <w:b w:val="0"/>
          <w:bCs w:val="0"/>
          <w:color w:val="000000"/>
          <w:spacing w:val="-1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 xml:space="preserve">оценки обеспечения готовности </w:t>
      </w:r>
      <w:r>
        <w:rPr>
          <w:b w:val="0"/>
          <w:bCs w:val="0"/>
          <w:color w:val="000000"/>
          <w:spacing w:val="-1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 xml:space="preserve"> потребителей тепловой энергии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  <w:color w:val="000000"/>
          <w:sz w:val="28"/>
          <w:szCs w:val="28"/>
        </w:rPr>
        <w:t xml:space="preserve">теплоснабжающих организаций на территории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  <w:lang w:val="ru-RU"/>
        </w:rPr>
        <w:t>Анучинского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муниципального округа Приморского края»</w:t>
      </w:r>
      <w:r>
        <w:rPr>
          <w:b w:val="0"/>
          <w:bCs/>
          <w:sz w:val="28"/>
          <w:szCs w:val="28"/>
        </w:rPr>
        <w:t>,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  <w:lang w:val="ru-RU"/>
        </w:rPr>
        <w:t>размещена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на сайте администрации Анучинского МО.</w:t>
      </w:r>
    </w:p>
    <w:p w14:paraId="6E79B291">
      <w:pPr>
        <w:pStyle w:val="11"/>
        <w:tabs>
          <w:tab w:val="left" w:pos="0"/>
          <w:tab w:val="left" w:pos="8080"/>
        </w:tabs>
        <w:spacing w:line="276" w:lineRule="auto"/>
        <w:ind w:left="0" w:leftChars="0" w:firstLine="0" w:firstLineChars="0"/>
        <w:jc w:val="both"/>
        <w:rPr>
          <w:b w:val="0"/>
          <w:bCs/>
          <w:sz w:val="28"/>
          <w:szCs w:val="28"/>
        </w:rPr>
      </w:pPr>
      <w:r>
        <w:rPr>
          <w:rFonts w:hint="default"/>
          <w:b w:val="0"/>
          <w:bCs/>
          <w:sz w:val="28"/>
          <w:szCs w:val="28"/>
          <w:lang w:val="ru-RU"/>
        </w:rPr>
        <w:t>Также,</w:t>
      </w:r>
      <w:r>
        <w:rPr>
          <w:b w:val="0"/>
          <w:bCs/>
          <w:sz w:val="28"/>
          <w:szCs w:val="28"/>
        </w:rPr>
        <w:t xml:space="preserve"> можно ознакомиться в приложении к настоящему уведомлению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по нижеуказанной ссылке.</w:t>
      </w:r>
    </w:p>
    <w:p w14:paraId="05219F15">
      <w:pPr>
        <w:pStyle w:val="19"/>
        <w:spacing w:line="276" w:lineRule="auto"/>
        <w:ind w:firstLine="53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Лица, указанные в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"Par383" \o "1.2. Теплоснабжающими организациями и теплосетевыми организациями."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подпунктах 1.2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"Par387" \o "1.6. Владельцами тепловых сетей, которые не являются теплосетевыми организациями, в соответствии с критериями, установленными пунктами 56(1) и 56(2) Правил организации теплоснабжения в Российской Федерации, утвержденных постановлением Правительства Российской "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1.6 пункта 1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 xml:space="preserve"> Порядка, обязаны подготовить и представить комиссии документы, подтверждающие выполнение требований по обеспечению готовности к отопительному периоду, установленных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"Par86" \o "9. В целях обеспечения готовности к отопительному периоду теплоснабжающие организации и теплосетевые организации обязаны:"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пунктами 9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 xml:space="preserve"> -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\l "Par148" \o "11. В целях обеспечения готовности к отопительному периоду лица, указанные в подпунктах 1.3 - 1.5 пункта 1 настоящих Правил, обязаны:" 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 xml:space="preserve"> Правил</w:t>
      </w:r>
      <w:bookmarkEnd w:id="0"/>
      <w:r>
        <w:rPr>
          <w:b/>
          <w:bCs/>
          <w:sz w:val="28"/>
          <w:szCs w:val="28"/>
        </w:rPr>
        <w:t>, а также заполненные оценочные листы.</w:t>
      </w:r>
    </w:p>
    <w:p w14:paraId="7076D7AB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b w:val="0"/>
          <w:bCs/>
          <w:sz w:val="28"/>
          <w:szCs w:val="28"/>
        </w:rPr>
      </w:pPr>
    </w:p>
    <w:p w14:paraId="00E590C9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rFonts w:hint="default"/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  <w:lang w:val="ru-RU"/>
        </w:rPr>
        <w:t>Ссылка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на программу проведения оценки обеспечения готовности: </w:t>
      </w:r>
      <w:r>
        <w:rPr>
          <w:rFonts w:hint="default"/>
          <w:b w:val="0"/>
          <w:bCs/>
          <w:sz w:val="28"/>
          <w:szCs w:val="28"/>
        </w:rPr>
        <w:fldChar w:fldCharType="begin"/>
      </w:r>
      <w:r>
        <w:rPr>
          <w:rFonts w:hint="default"/>
          <w:b w:val="0"/>
          <w:bCs/>
          <w:sz w:val="28"/>
          <w:szCs w:val="28"/>
        </w:rPr>
        <w:instrText xml:space="preserve"> HYPERLINK "https://анучинский.рф/upload/iblock/8ce/2uiigph82p9sxfjklvi65b31le1jexah.doc" </w:instrText>
      </w:r>
      <w:r>
        <w:rPr>
          <w:rFonts w:hint="default"/>
          <w:b w:val="0"/>
          <w:bCs/>
          <w:sz w:val="28"/>
          <w:szCs w:val="28"/>
        </w:rPr>
        <w:fldChar w:fldCharType="separate"/>
      </w:r>
      <w:r>
        <w:rPr>
          <w:rStyle w:val="7"/>
          <w:rFonts w:hint="default"/>
          <w:b w:val="0"/>
          <w:bCs/>
          <w:sz w:val="28"/>
          <w:szCs w:val="28"/>
        </w:rPr>
        <w:t>https://анучинский.рф/upload/iblock/8ce/2uiigph82p9sxfjklvi65b31le1jexah.doc</w:t>
      </w:r>
      <w:r>
        <w:rPr>
          <w:rFonts w:hint="default"/>
          <w:b w:val="0"/>
          <w:bCs/>
          <w:sz w:val="28"/>
          <w:szCs w:val="28"/>
        </w:rPr>
        <w:fldChar w:fldCharType="end"/>
      </w:r>
    </w:p>
    <w:p w14:paraId="3E12E660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rFonts w:hint="default"/>
          <w:b w:val="0"/>
          <w:bCs/>
          <w:sz w:val="28"/>
          <w:szCs w:val="28"/>
        </w:rPr>
      </w:pPr>
    </w:p>
    <w:p w14:paraId="7E5FDB72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b w:val="0"/>
          <w:bCs/>
          <w:sz w:val="26"/>
          <w:szCs w:val="26"/>
        </w:rPr>
      </w:pPr>
    </w:p>
    <w:p w14:paraId="592D1F2F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b w:val="0"/>
          <w:bCs/>
          <w:sz w:val="26"/>
          <w:szCs w:val="26"/>
        </w:rPr>
      </w:pPr>
    </w:p>
    <w:p w14:paraId="4A18528B">
      <w:pPr>
        <w:pStyle w:val="11"/>
        <w:tabs>
          <w:tab w:val="left" w:pos="0"/>
          <w:tab w:val="left" w:pos="8080"/>
        </w:tabs>
        <w:spacing w:line="276" w:lineRule="auto"/>
        <w:jc w:val="both"/>
        <w:rPr>
          <w:b w:val="0"/>
          <w:bCs/>
          <w:sz w:val="26"/>
          <w:szCs w:val="26"/>
        </w:rPr>
      </w:pPr>
    </w:p>
    <w:p w14:paraId="21DD212D">
      <w:pPr>
        <w:pStyle w:val="11"/>
        <w:tabs>
          <w:tab w:val="left" w:pos="0"/>
          <w:tab w:val="left" w:pos="8080"/>
        </w:tabs>
        <w:spacing w:line="276" w:lineRule="auto"/>
        <w:ind w:firstLine="624"/>
        <w:jc w:val="both"/>
        <w:rPr>
          <w:b w:val="0"/>
          <w:sz w:val="26"/>
          <w:szCs w:val="26"/>
        </w:rPr>
      </w:pPr>
    </w:p>
    <w:sectPr>
      <w:type w:val="continuous"/>
      <w:pgSz w:w="11906" w:h="16838"/>
      <w:pgMar w:top="357" w:right="851" w:bottom="567" w:left="1418" w:header="720" w:footer="720" w:gutter="0"/>
      <w:cols w:space="708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doNotHyphenateCaps/>
  <w:drawingGridHorizontalSpacing w:val="100"/>
  <w:drawingGridVerticalSpacing w:val="136"/>
  <w:displayHorizontalDrawingGridEvery w:val="0"/>
  <w:displayVerticalDrawingGridEvery w:val="2"/>
  <w:doNotShadeFormData w:val="1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F0C"/>
    <w:rsid w:val="00000C1C"/>
    <w:rsid w:val="00005B18"/>
    <w:rsid w:val="0001185B"/>
    <w:rsid w:val="0001737B"/>
    <w:rsid w:val="00057441"/>
    <w:rsid w:val="00061046"/>
    <w:rsid w:val="00082598"/>
    <w:rsid w:val="00084196"/>
    <w:rsid w:val="000862D3"/>
    <w:rsid w:val="000902F5"/>
    <w:rsid w:val="00091CD1"/>
    <w:rsid w:val="000B750E"/>
    <w:rsid w:val="000E5716"/>
    <w:rsid w:val="000F091F"/>
    <w:rsid w:val="00110CF2"/>
    <w:rsid w:val="00121773"/>
    <w:rsid w:val="00125E3F"/>
    <w:rsid w:val="00135B15"/>
    <w:rsid w:val="001438FF"/>
    <w:rsid w:val="00174907"/>
    <w:rsid w:val="001B2261"/>
    <w:rsid w:val="001C149D"/>
    <w:rsid w:val="001E09E6"/>
    <w:rsid w:val="001E4D62"/>
    <w:rsid w:val="001F3AA0"/>
    <w:rsid w:val="001F7297"/>
    <w:rsid w:val="001F76EB"/>
    <w:rsid w:val="0021259B"/>
    <w:rsid w:val="00220E27"/>
    <w:rsid w:val="0023446D"/>
    <w:rsid w:val="00236401"/>
    <w:rsid w:val="0024418A"/>
    <w:rsid w:val="00265FA7"/>
    <w:rsid w:val="00293233"/>
    <w:rsid w:val="002E41C0"/>
    <w:rsid w:val="002F5A54"/>
    <w:rsid w:val="0030322C"/>
    <w:rsid w:val="00315F55"/>
    <w:rsid w:val="00334554"/>
    <w:rsid w:val="00347B5E"/>
    <w:rsid w:val="0036064B"/>
    <w:rsid w:val="00382B8F"/>
    <w:rsid w:val="00385B4C"/>
    <w:rsid w:val="0038661B"/>
    <w:rsid w:val="003909E1"/>
    <w:rsid w:val="003C3F39"/>
    <w:rsid w:val="003C7FC8"/>
    <w:rsid w:val="003D0A34"/>
    <w:rsid w:val="003D5A4D"/>
    <w:rsid w:val="003E1656"/>
    <w:rsid w:val="003F4799"/>
    <w:rsid w:val="00406503"/>
    <w:rsid w:val="00430CC8"/>
    <w:rsid w:val="00433E34"/>
    <w:rsid w:val="0045264A"/>
    <w:rsid w:val="0045764C"/>
    <w:rsid w:val="0046645D"/>
    <w:rsid w:val="00480087"/>
    <w:rsid w:val="00485969"/>
    <w:rsid w:val="00487CAD"/>
    <w:rsid w:val="00495D36"/>
    <w:rsid w:val="004A46BB"/>
    <w:rsid w:val="004E2283"/>
    <w:rsid w:val="004F03B2"/>
    <w:rsid w:val="004F16D3"/>
    <w:rsid w:val="004F7148"/>
    <w:rsid w:val="005069CF"/>
    <w:rsid w:val="00507F72"/>
    <w:rsid w:val="00510691"/>
    <w:rsid w:val="0051508D"/>
    <w:rsid w:val="00516F8F"/>
    <w:rsid w:val="00527911"/>
    <w:rsid w:val="00532CBE"/>
    <w:rsid w:val="005332C5"/>
    <w:rsid w:val="00554B86"/>
    <w:rsid w:val="005613AB"/>
    <w:rsid w:val="00591729"/>
    <w:rsid w:val="005A0539"/>
    <w:rsid w:val="005A09A1"/>
    <w:rsid w:val="005A36B9"/>
    <w:rsid w:val="005A3C33"/>
    <w:rsid w:val="005B7DE3"/>
    <w:rsid w:val="005C356E"/>
    <w:rsid w:val="005D1E41"/>
    <w:rsid w:val="005D731F"/>
    <w:rsid w:val="005E5ECD"/>
    <w:rsid w:val="005F3E09"/>
    <w:rsid w:val="005F53C7"/>
    <w:rsid w:val="00602CDA"/>
    <w:rsid w:val="006131CA"/>
    <w:rsid w:val="00634CF2"/>
    <w:rsid w:val="0063692D"/>
    <w:rsid w:val="006477DF"/>
    <w:rsid w:val="00652874"/>
    <w:rsid w:val="00654F11"/>
    <w:rsid w:val="00664359"/>
    <w:rsid w:val="0066464E"/>
    <w:rsid w:val="00666CB2"/>
    <w:rsid w:val="00675CEB"/>
    <w:rsid w:val="0068485B"/>
    <w:rsid w:val="00685006"/>
    <w:rsid w:val="00692F92"/>
    <w:rsid w:val="006957E5"/>
    <w:rsid w:val="006A360A"/>
    <w:rsid w:val="006C49B3"/>
    <w:rsid w:val="006C6239"/>
    <w:rsid w:val="006F04B9"/>
    <w:rsid w:val="00704317"/>
    <w:rsid w:val="0073192A"/>
    <w:rsid w:val="00735EFD"/>
    <w:rsid w:val="007532BB"/>
    <w:rsid w:val="007624B6"/>
    <w:rsid w:val="0077662F"/>
    <w:rsid w:val="00780560"/>
    <w:rsid w:val="007A7F2D"/>
    <w:rsid w:val="007C35C1"/>
    <w:rsid w:val="007D000D"/>
    <w:rsid w:val="007E3A93"/>
    <w:rsid w:val="007F11DF"/>
    <w:rsid w:val="007F3926"/>
    <w:rsid w:val="00814D23"/>
    <w:rsid w:val="00817B98"/>
    <w:rsid w:val="00827222"/>
    <w:rsid w:val="00847897"/>
    <w:rsid w:val="008511C0"/>
    <w:rsid w:val="00853A1A"/>
    <w:rsid w:val="00856615"/>
    <w:rsid w:val="00863E1D"/>
    <w:rsid w:val="008668B2"/>
    <w:rsid w:val="008737CE"/>
    <w:rsid w:val="00891970"/>
    <w:rsid w:val="00893F0C"/>
    <w:rsid w:val="008A7033"/>
    <w:rsid w:val="008B0F6C"/>
    <w:rsid w:val="008E3EB6"/>
    <w:rsid w:val="008F754D"/>
    <w:rsid w:val="00905892"/>
    <w:rsid w:val="00905BD0"/>
    <w:rsid w:val="00962EF4"/>
    <w:rsid w:val="009734FE"/>
    <w:rsid w:val="00985EA9"/>
    <w:rsid w:val="00986F9F"/>
    <w:rsid w:val="009A279A"/>
    <w:rsid w:val="009A5A3F"/>
    <w:rsid w:val="009B74E0"/>
    <w:rsid w:val="009B7DAE"/>
    <w:rsid w:val="009C5A73"/>
    <w:rsid w:val="009C7D88"/>
    <w:rsid w:val="009D42F0"/>
    <w:rsid w:val="009E370E"/>
    <w:rsid w:val="009F390B"/>
    <w:rsid w:val="00A0021E"/>
    <w:rsid w:val="00A1260B"/>
    <w:rsid w:val="00A16593"/>
    <w:rsid w:val="00A2445C"/>
    <w:rsid w:val="00A30442"/>
    <w:rsid w:val="00A61FE5"/>
    <w:rsid w:val="00A636EE"/>
    <w:rsid w:val="00A96AE4"/>
    <w:rsid w:val="00AA12C2"/>
    <w:rsid w:val="00AA4131"/>
    <w:rsid w:val="00AA5A80"/>
    <w:rsid w:val="00AC444C"/>
    <w:rsid w:val="00AE4ED4"/>
    <w:rsid w:val="00AE6D3B"/>
    <w:rsid w:val="00B04235"/>
    <w:rsid w:val="00B14F35"/>
    <w:rsid w:val="00B20EF6"/>
    <w:rsid w:val="00B26241"/>
    <w:rsid w:val="00B41446"/>
    <w:rsid w:val="00B41450"/>
    <w:rsid w:val="00B70F85"/>
    <w:rsid w:val="00B733AE"/>
    <w:rsid w:val="00B82A11"/>
    <w:rsid w:val="00BD3A75"/>
    <w:rsid w:val="00C03397"/>
    <w:rsid w:val="00C072B6"/>
    <w:rsid w:val="00C0799F"/>
    <w:rsid w:val="00C17D9F"/>
    <w:rsid w:val="00C22A54"/>
    <w:rsid w:val="00C305BA"/>
    <w:rsid w:val="00C30D30"/>
    <w:rsid w:val="00C31053"/>
    <w:rsid w:val="00C411F5"/>
    <w:rsid w:val="00C60146"/>
    <w:rsid w:val="00C73A13"/>
    <w:rsid w:val="00C7608B"/>
    <w:rsid w:val="00C84E3A"/>
    <w:rsid w:val="00C875FA"/>
    <w:rsid w:val="00CA7180"/>
    <w:rsid w:val="00CD40FF"/>
    <w:rsid w:val="00CD69F2"/>
    <w:rsid w:val="00CE3AAD"/>
    <w:rsid w:val="00CE4DD4"/>
    <w:rsid w:val="00CE516E"/>
    <w:rsid w:val="00D135ED"/>
    <w:rsid w:val="00D30B37"/>
    <w:rsid w:val="00D3249D"/>
    <w:rsid w:val="00D3625A"/>
    <w:rsid w:val="00D4625A"/>
    <w:rsid w:val="00D50862"/>
    <w:rsid w:val="00D51D8F"/>
    <w:rsid w:val="00D578A5"/>
    <w:rsid w:val="00D86AF5"/>
    <w:rsid w:val="00D86FD2"/>
    <w:rsid w:val="00D91BA2"/>
    <w:rsid w:val="00DB5371"/>
    <w:rsid w:val="00DD1EC0"/>
    <w:rsid w:val="00DD4290"/>
    <w:rsid w:val="00DE45F1"/>
    <w:rsid w:val="00E04665"/>
    <w:rsid w:val="00E51339"/>
    <w:rsid w:val="00E52C2D"/>
    <w:rsid w:val="00E55DD4"/>
    <w:rsid w:val="00E61DE6"/>
    <w:rsid w:val="00E710BC"/>
    <w:rsid w:val="00E71EF5"/>
    <w:rsid w:val="00E80907"/>
    <w:rsid w:val="00E91284"/>
    <w:rsid w:val="00EA1FAF"/>
    <w:rsid w:val="00EA69F1"/>
    <w:rsid w:val="00EB738A"/>
    <w:rsid w:val="00EC5DFE"/>
    <w:rsid w:val="00ED6EDC"/>
    <w:rsid w:val="00EE1FDF"/>
    <w:rsid w:val="00EE2161"/>
    <w:rsid w:val="00EF39C1"/>
    <w:rsid w:val="00F02FBA"/>
    <w:rsid w:val="00F0408A"/>
    <w:rsid w:val="00F15B0B"/>
    <w:rsid w:val="00F20EAC"/>
    <w:rsid w:val="00F26395"/>
    <w:rsid w:val="00F37D49"/>
    <w:rsid w:val="00F5168E"/>
    <w:rsid w:val="00F554D6"/>
    <w:rsid w:val="00F710D4"/>
    <w:rsid w:val="00F81D4E"/>
    <w:rsid w:val="00F84574"/>
    <w:rsid w:val="00F86FD1"/>
    <w:rsid w:val="00F87A3C"/>
    <w:rsid w:val="00F90D72"/>
    <w:rsid w:val="00FA4EA4"/>
    <w:rsid w:val="00FB453B"/>
    <w:rsid w:val="00FB6EFA"/>
    <w:rsid w:val="00FC7D9E"/>
    <w:rsid w:val="00FD501A"/>
    <w:rsid w:val="00FE7A11"/>
    <w:rsid w:val="00FF43FC"/>
    <w:rsid w:val="2F38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b/>
      <w:sz w:val="26"/>
    </w:rPr>
  </w:style>
  <w:style w:type="paragraph" w:styleId="3">
    <w:name w:val="heading 2"/>
    <w:basedOn w:val="1"/>
    <w:next w:val="1"/>
    <w:qFormat/>
    <w:uiPriority w:val="0"/>
    <w:pPr>
      <w:keepNext/>
      <w:jc w:val="both"/>
      <w:outlineLvl w:val="1"/>
    </w:pPr>
    <w:rPr>
      <w:sz w:val="26"/>
    </w:rPr>
  </w:style>
  <w:style w:type="paragraph" w:styleId="4">
    <w:name w:val="heading 3"/>
    <w:basedOn w:val="1"/>
    <w:next w:val="1"/>
    <w:qFormat/>
    <w:uiPriority w:val="0"/>
    <w:pPr>
      <w:keepNext/>
      <w:ind w:right="-105"/>
      <w:jc w:val="center"/>
      <w:outlineLvl w:val="2"/>
    </w:pPr>
    <w:rPr>
      <w:b/>
      <w:spacing w:val="20"/>
      <w:sz w:val="26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5"/>
    <w:semiHidden/>
    <w:unhideWhenUsed/>
    <w:uiPriority w:val="99"/>
    <w:rPr>
      <w:color w:val="800080"/>
      <w:u w:val="single"/>
    </w:rPr>
  </w:style>
  <w:style w:type="character" w:styleId="8">
    <w:name w:val="Hyperlink"/>
    <w:uiPriority w:val="0"/>
    <w:rPr>
      <w:color w:val="0000FF"/>
      <w:u w:val="single"/>
    </w:rPr>
  </w:style>
  <w:style w:type="paragraph" w:styleId="9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10">
    <w:name w:val="Body Text Indent 3"/>
    <w:basedOn w:val="1"/>
    <w:uiPriority w:val="0"/>
    <w:pPr>
      <w:widowControl/>
      <w:ind w:firstLine="567"/>
      <w:jc w:val="both"/>
    </w:pPr>
    <w:rPr>
      <w:sz w:val="26"/>
    </w:rPr>
  </w:style>
  <w:style w:type="paragraph" w:styleId="11">
    <w:name w:val="Body Text"/>
    <w:basedOn w:val="1"/>
    <w:uiPriority w:val="0"/>
    <w:pPr>
      <w:widowControl/>
      <w:jc w:val="center"/>
    </w:pPr>
    <w:rPr>
      <w:b/>
      <w:sz w:val="28"/>
    </w:rPr>
  </w:style>
  <w:style w:type="paragraph" w:styleId="12">
    <w:name w:val="Body Text Indent"/>
    <w:basedOn w:val="1"/>
    <w:uiPriority w:val="0"/>
    <w:pPr>
      <w:autoSpaceDE w:val="0"/>
      <w:autoSpaceDN w:val="0"/>
      <w:adjustRightInd w:val="0"/>
      <w:ind w:left="1309"/>
    </w:pPr>
    <w:rPr>
      <w:sz w:val="26"/>
    </w:rPr>
  </w:style>
  <w:style w:type="paragraph" w:styleId="13">
    <w:name w:val="Body Text Indent 2"/>
    <w:basedOn w:val="1"/>
    <w:uiPriority w:val="0"/>
    <w:pPr>
      <w:ind w:firstLine="709"/>
      <w:jc w:val="both"/>
    </w:pPr>
    <w:rPr>
      <w:sz w:val="26"/>
    </w:rPr>
  </w:style>
  <w:style w:type="character" w:customStyle="1" w:styleId="14">
    <w:name w:val="Гиперссылка1"/>
    <w:uiPriority w:val="0"/>
    <w:rPr>
      <w:color w:val="0000FF"/>
      <w:u w:val="single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s2"/>
    <w:uiPriority w:val="0"/>
  </w:style>
  <w:style w:type="character" w:customStyle="1" w:styleId="17">
    <w:name w:val="WW8Num1z2"/>
    <w:uiPriority w:val="0"/>
  </w:style>
  <w:style w:type="character" w:customStyle="1" w:styleId="18">
    <w:name w:val="Основной текст (2) + 10;5 pt;Полужирный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1"/>
      <w:szCs w:val="21"/>
      <w:u w:val="none"/>
      <w:vertAlign w:val="baseline"/>
      <w:lang w:val="ru-RU" w:bidi="ru-RU"/>
    </w:rPr>
  </w:style>
  <w:style w:type="paragraph" w:customStyle="1" w:styleId="19">
    <w:name w:val="ConsPlusNormal"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</Company>
  <Pages>2</Pages>
  <Words>429</Words>
  <Characters>2447</Characters>
  <Lines>20</Lines>
  <Paragraphs>5</Paragraphs>
  <TotalTime>1</TotalTime>
  <ScaleCrop>false</ScaleCrop>
  <LinksUpToDate>false</LinksUpToDate>
  <CharactersWithSpaces>2871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2025-08-14T01:33:00Z</dcterms:created>
  <dc:creator>Сивожелезова Наталья Юрьевна</dc:creator>
  <cp:lastModifiedBy>WPS_1706838892</cp:lastModifiedBy>
  <cp:lastPrinted>2025-08-13T08:37:00Z</cp:lastPrinted>
  <dcterms:modified xsi:type="dcterms:W3CDTF">2025-08-19T00:27:34Z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39E48F640EF0485D833EEBC0E43CCD71_13</vt:lpwstr>
  </property>
</Properties>
</file>