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90548E">
      <w:pPr>
        <w:pStyle w:val="12"/>
        <w:jc w:val="right"/>
        <w:rPr>
          <w:rFonts w:ascii="Times New Roman" w:hAnsi="Times New Roman" w:cs="Times New Roman"/>
          <w:b w:val="0"/>
          <w:bCs/>
          <w:sz w:val="28"/>
          <w:szCs w:val="28"/>
        </w:rPr>
      </w:pPr>
    </w:p>
    <w:p w14:paraId="1308AD38">
      <w:pPr>
        <w:shd w:val="clear" w:color="auto" w:fill="FFFFFF"/>
        <w:jc w:val="center"/>
        <w:rPr>
          <w:color w:val="000000"/>
          <w:sz w:val="18"/>
          <w:szCs w:val="24"/>
        </w:rPr>
      </w:pPr>
    </w:p>
    <w:p w14:paraId="4EEA0AD2">
      <w:pPr>
        <w:shd w:val="clear" w:color="auto" w:fill="FFFFFF"/>
        <w:jc w:val="center"/>
        <w:rPr>
          <w:color w:val="000000"/>
          <w:sz w:val="18"/>
          <w:szCs w:val="24"/>
        </w:rPr>
      </w:pPr>
      <w:r>
        <w:rPr>
          <w:color w:val="000000"/>
          <w:sz w:val="18"/>
          <w:szCs w:val="24"/>
        </w:rPr>
        <w:drawing>
          <wp:inline distT="0" distB="0" distL="0" distR="0">
            <wp:extent cx="638175" cy="90487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ADED17">
      <w:pPr>
        <w:shd w:val="clear" w:color="auto" w:fill="FFFFFF"/>
        <w:jc w:val="center"/>
        <w:rPr>
          <w:color w:val="000000"/>
          <w:sz w:val="18"/>
          <w:szCs w:val="24"/>
        </w:rPr>
      </w:pPr>
    </w:p>
    <w:p w14:paraId="426D33D1">
      <w:pPr>
        <w:shd w:val="clear" w:color="auto" w:fill="FFFFFF"/>
        <w:jc w:val="center"/>
        <w:rPr>
          <w:color w:val="000000"/>
          <w:sz w:val="18"/>
          <w:szCs w:val="24"/>
        </w:rPr>
      </w:pPr>
    </w:p>
    <w:p w14:paraId="7269B60F">
      <w:pPr>
        <w:shd w:val="clear" w:color="auto" w:fill="FFFFFF"/>
        <w:jc w:val="center"/>
        <w:rPr>
          <w:color w:val="000000"/>
          <w:sz w:val="18"/>
          <w:szCs w:val="24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0" b="0"/>
                <wp:wrapNone/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39C809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Надпись 2" o:spid="_x0000_s1026" o:spt="202" type="#_x0000_t202" style="position:absolute;left:0pt;margin-left:375.5pt;margin-top:-13.5pt;height:28.8pt;width:108pt;z-index:251659264;mso-width-relative:page;mso-height-relative:page;" fillcolor="#FFFFFF" filled="t" stroked="f" coordsize="21600,21600" o:allowincell="f" o:gfxdata="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DUu/t7YAAAACgEAAA8AAAAAAAAAAQAgAAAAIgAAAGRycy9kb3ducmV2Lnht&#10;bFBLAQIUABQAAAAIAIdO4kCh5gn6MgIAAEMEAAAOAAAAAAAAAAEAIAAAACcBAABkcnMvZTJvRG9j&#10;LnhtbFBLBQYAAAAABgAGAFkBAADL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539C8090"/>
                  </w:txbxContent>
                </v:textbox>
              </v:shape>
            </w:pict>
          </mc:Fallback>
        </mc:AlternateContent>
      </w:r>
    </w:p>
    <w:p w14:paraId="5C7A552F">
      <w:pPr>
        <w:shd w:val="clear" w:color="auto" w:fill="FFFFFF"/>
        <w:jc w:val="center"/>
        <w:rPr>
          <w:b/>
          <w:color w:val="000000"/>
          <w:spacing w:val="20"/>
          <w:sz w:val="32"/>
          <w:szCs w:val="24"/>
        </w:rPr>
      </w:pPr>
      <w:r>
        <w:rPr>
          <w:b/>
          <w:color w:val="000000"/>
          <w:spacing w:val="20"/>
          <w:sz w:val="32"/>
          <w:szCs w:val="24"/>
        </w:rPr>
        <w:t>АДМИНИСТРАЦИЯ                                    АНУЧИНСКОГО МУНИЦИПАЛЬНОГО ОКРУГА</w:t>
      </w:r>
    </w:p>
    <w:p w14:paraId="5C22D01A">
      <w:pPr>
        <w:shd w:val="clear" w:color="auto" w:fill="FFFFFF"/>
        <w:jc w:val="center"/>
        <w:rPr>
          <w:b/>
          <w:color w:val="000000"/>
          <w:spacing w:val="20"/>
          <w:sz w:val="32"/>
          <w:szCs w:val="24"/>
        </w:rPr>
      </w:pPr>
      <w:r>
        <w:rPr>
          <w:b/>
          <w:color w:val="000000"/>
          <w:spacing w:val="20"/>
          <w:sz w:val="32"/>
          <w:szCs w:val="24"/>
        </w:rPr>
        <w:t>ПРИМОРСКОГО КРАЯ</w:t>
      </w:r>
    </w:p>
    <w:p w14:paraId="3E966217">
      <w:pPr>
        <w:shd w:val="clear" w:color="auto" w:fill="FFFFFF"/>
        <w:spacing w:before="227"/>
        <w:jc w:val="center"/>
        <w:rPr>
          <w:rFonts w:ascii="Arial" w:hAnsi="Arial"/>
          <w:sz w:val="16"/>
          <w:szCs w:val="24"/>
        </w:rPr>
      </w:pPr>
    </w:p>
    <w:p w14:paraId="2A3DF4BB">
      <w:pPr>
        <w:shd w:val="clear" w:color="auto" w:fill="FFFFFF"/>
        <w:jc w:val="center"/>
        <w:rPr>
          <w:color w:val="000000"/>
          <w:szCs w:val="24"/>
        </w:rPr>
      </w:pPr>
      <w:r>
        <w:rPr>
          <w:color w:val="000000"/>
          <w:szCs w:val="24"/>
        </w:rPr>
        <w:t>П О С Т А Н О В Л Е Н И Е</w:t>
      </w:r>
    </w:p>
    <w:p w14:paraId="25E284C0">
      <w:pPr>
        <w:shd w:val="clear" w:color="auto" w:fill="FFFFFF"/>
        <w:jc w:val="center"/>
        <w:rPr>
          <w:color w:val="000000"/>
          <w:sz w:val="16"/>
          <w:szCs w:val="24"/>
        </w:rPr>
      </w:pPr>
    </w:p>
    <w:p w14:paraId="7E0B72EB">
      <w:pPr>
        <w:shd w:val="clear" w:color="auto" w:fill="FFFFFF"/>
        <w:jc w:val="center"/>
        <w:rPr>
          <w:rFonts w:hint="default"/>
          <w:color w:val="000000"/>
          <w:sz w:val="16"/>
          <w:szCs w:val="24"/>
          <w:lang w:val="ru-RU"/>
        </w:rPr>
      </w:pPr>
    </w:p>
    <w:tbl>
      <w:tblPr>
        <w:tblStyle w:val="4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5"/>
        <w:gridCol w:w="1932"/>
        <w:gridCol w:w="284"/>
        <w:gridCol w:w="4890"/>
        <w:gridCol w:w="561"/>
        <w:gridCol w:w="1309"/>
      </w:tblGrid>
      <w:tr w14:paraId="664F4F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184491EB">
            <w:pPr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 w14:paraId="199E9141">
            <w:pPr>
              <w:ind w:left="-82" w:right="-108"/>
              <w:jc w:val="center"/>
              <w:rPr>
                <w:rFonts w:hint="default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/>
                <w:color w:val="000000"/>
                <w:sz w:val="24"/>
                <w:szCs w:val="24"/>
                <w:lang w:val="ru-RU"/>
              </w:rPr>
              <w:t>05.06.2025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3373CE2">
            <w:pPr>
              <w:rPr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292794E0">
            <w:pPr>
              <w:ind w:left="-67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6E87291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color="auto" w:sz="6" w:space="0"/>
              <w:right w:val="nil"/>
            </w:tcBorders>
          </w:tcPr>
          <w:p w14:paraId="523F6D42">
            <w:pPr>
              <w:ind w:left="-120" w:right="-89"/>
              <w:jc w:val="center"/>
              <w:rPr>
                <w:rFonts w:hint="default"/>
                <w:color w:val="000000"/>
                <w:szCs w:val="28"/>
                <w:lang w:val="ru-RU"/>
              </w:rPr>
            </w:pPr>
            <w:r>
              <w:rPr>
                <w:rFonts w:hint="default"/>
                <w:color w:val="000000"/>
                <w:szCs w:val="28"/>
                <w:lang w:val="ru-RU"/>
              </w:rPr>
              <w:t>479</w:t>
            </w:r>
            <w:bookmarkStart w:id="3" w:name="_GoBack"/>
            <w:bookmarkEnd w:id="3"/>
          </w:p>
        </w:tc>
      </w:tr>
    </w:tbl>
    <w:p w14:paraId="0B976F0D">
      <w:pPr>
        <w:jc w:val="center"/>
        <w:rPr>
          <w:b/>
          <w:bCs/>
          <w:szCs w:val="28"/>
        </w:rPr>
      </w:pPr>
    </w:p>
    <w:p w14:paraId="4B8BFF58">
      <w:pPr>
        <w:jc w:val="center"/>
        <w:rPr>
          <w:b/>
          <w:szCs w:val="28"/>
        </w:rPr>
      </w:pPr>
      <w:bookmarkStart w:id="0" w:name="_Hlk73615253"/>
      <w:r>
        <w:rPr>
          <w:b/>
          <w:szCs w:val="28"/>
        </w:rPr>
        <w:t xml:space="preserve">О внесении изменений в муниципальную программу </w:t>
      </w:r>
    </w:p>
    <w:p w14:paraId="54CFA098">
      <w:pPr>
        <w:shd w:val="clear" w:color="auto" w:fill="FFFFFF"/>
        <w:jc w:val="center"/>
        <w:outlineLvl w:val="2"/>
        <w:rPr>
          <w:b/>
          <w:szCs w:val="28"/>
        </w:rPr>
      </w:pPr>
      <w:r>
        <w:rPr>
          <w:b/>
          <w:szCs w:val="28"/>
        </w:rPr>
        <w:t>«Комплексное развитие сельских территорий Анучинского муниципального округа» на 2025-2029 годы</w:t>
      </w:r>
      <w:bookmarkEnd w:id="0"/>
      <w:r>
        <w:rPr>
          <w:b/>
          <w:szCs w:val="28"/>
        </w:rPr>
        <w:t>, утверждённ</w:t>
      </w:r>
      <w:r>
        <w:rPr>
          <w:b/>
          <w:szCs w:val="28"/>
          <w:lang w:val="ru-RU"/>
        </w:rPr>
        <w:t>ую</w:t>
      </w:r>
      <w:r>
        <w:rPr>
          <w:b/>
          <w:szCs w:val="28"/>
        </w:rPr>
        <w:t xml:space="preserve"> постановлением администрации Анучинского муниципального округа Приморского края от 22.05.2024 № 449</w:t>
      </w:r>
    </w:p>
    <w:p w14:paraId="3C50C7F4">
      <w:pPr>
        <w:shd w:val="clear" w:color="auto" w:fill="FFFFFF"/>
        <w:jc w:val="center"/>
        <w:outlineLvl w:val="2"/>
        <w:rPr>
          <w:b/>
          <w:szCs w:val="28"/>
        </w:rPr>
      </w:pPr>
    </w:p>
    <w:p w14:paraId="0213A23A">
      <w:pPr>
        <w:shd w:val="clear" w:color="auto" w:fill="FFFFFF"/>
        <w:jc w:val="center"/>
        <w:outlineLvl w:val="2"/>
        <w:rPr>
          <w:szCs w:val="28"/>
          <w:highlight w:val="yellow"/>
        </w:rPr>
      </w:pPr>
    </w:p>
    <w:p w14:paraId="46434298">
      <w:pPr>
        <w:spacing w:line="360" w:lineRule="auto"/>
        <w:ind w:firstLine="709"/>
        <w:jc w:val="both"/>
        <w:rPr>
          <w:szCs w:val="28"/>
        </w:rPr>
      </w:pPr>
      <w:r>
        <w:rPr>
          <w:szCs w:val="28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Федерации», статьёй 179 Бюджетного кодекса Российской Федерации, Постановлением Правительства Российской Федерации от 31.05.2019 № 696 </w:t>
      </w:r>
      <w:r>
        <w:fldChar w:fldCharType="begin"/>
      </w:r>
      <w:r>
        <w:instrText xml:space="preserve"> HYPERLINK "http://www.economy.gov.ru/wps/wcm/connect/economylib4/mer/activity/sections/infOrientedSoc/doc20101020_01" </w:instrText>
      </w:r>
      <w:r>
        <w:fldChar w:fldCharType="separate"/>
      </w:r>
      <w:r>
        <w:rPr>
          <w:szCs w:val="28"/>
        </w:rPr>
        <w:t>«Комплексное развитие сельских территорий»</w:t>
      </w:r>
      <w:r>
        <w:rPr>
          <w:szCs w:val="28"/>
        </w:rPr>
        <w:fldChar w:fldCharType="end"/>
      </w:r>
      <w:r>
        <w:rPr>
          <w:szCs w:val="28"/>
        </w:rPr>
        <w:t>, Уставом Анучинского муниципального округа, в целях повышения уровня и качества жизни сельского населения  населённых пунктов Анучинского муниципального округа администрация Анучинского муниципального округа Приморского края</w:t>
      </w:r>
    </w:p>
    <w:p w14:paraId="1D5E8B8D">
      <w:pPr>
        <w:spacing w:line="360" w:lineRule="auto"/>
        <w:ind w:firstLine="709"/>
        <w:jc w:val="both"/>
        <w:rPr>
          <w:spacing w:val="-1"/>
          <w:szCs w:val="28"/>
        </w:rPr>
      </w:pPr>
    </w:p>
    <w:p w14:paraId="4F1C71E5">
      <w:pPr>
        <w:shd w:val="clear" w:color="auto" w:fill="FFFFFF"/>
        <w:spacing w:line="360" w:lineRule="auto"/>
        <w:jc w:val="both"/>
        <w:rPr>
          <w:spacing w:val="-1"/>
          <w:szCs w:val="28"/>
        </w:rPr>
      </w:pPr>
      <w:r>
        <w:rPr>
          <w:spacing w:val="-1"/>
          <w:szCs w:val="28"/>
        </w:rPr>
        <w:t>ПОСТАНОВЛЯЕТ</w:t>
      </w:r>
    </w:p>
    <w:p w14:paraId="114A3796">
      <w:pPr>
        <w:shd w:val="clear" w:color="auto" w:fill="FFFFFF"/>
        <w:spacing w:line="360" w:lineRule="auto"/>
        <w:jc w:val="both"/>
        <w:rPr>
          <w:szCs w:val="28"/>
        </w:rPr>
      </w:pPr>
    </w:p>
    <w:p w14:paraId="67431D5A">
      <w:pPr>
        <w:numPr>
          <w:ilvl w:val="0"/>
          <w:numId w:val="1"/>
        </w:numPr>
        <w:tabs>
          <w:tab w:val="left" w:pos="993"/>
        </w:tabs>
        <w:spacing w:line="360" w:lineRule="auto"/>
        <w:ind w:left="0" w:right="-2" w:firstLine="709"/>
        <w:jc w:val="both"/>
        <w:rPr>
          <w:b/>
          <w:bCs/>
          <w:i/>
          <w:iCs/>
          <w:szCs w:val="28"/>
        </w:rPr>
      </w:pPr>
      <w:r>
        <w:rPr>
          <w:szCs w:val="28"/>
        </w:rPr>
        <w:t>Внести в муниципальную программу «Комплексное развитие сельских территорий Анучинского муниципального округа» на 2025-2029 годы, утверждённую постановлением администрации Анучинского муниципального округа Приморского края от 22.0</w:t>
      </w:r>
      <w:r>
        <w:rPr>
          <w:rFonts w:hint="default"/>
          <w:szCs w:val="28"/>
          <w:lang w:val="ru-RU"/>
        </w:rPr>
        <w:t>5</w:t>
      </w:r>
      <w:r>
        <w:rPr>
          <w:szCs w:val="28"/>
        </w:rPr>
        <w:t>.2024 № 449 (далее Программа) следующие изменения:</w:t>
      </w:r>
    </w:p>
    <w:p w14:paraId="14C9F7D0">
      <w:pPr>
        <w:numPr>
          <w:ilvl w:val="1"/>
          <w:numId w:val="2"/>
        </w:numPr>
        <w:tabs>
          <w:tab w:val="left" w:pos="993"/>
        </w:tabs>
        <w:spacing w:line="360" w:lineRule="auto"/>
        <w:ind w:right="-2"/>
        <w:jc w:val="both"/>
        <w:rPr>
          <w:szCs w:val="28"/>
        </w:rPr>
      </w:pPr>
      <w:r>
        <w:rPr>
          <w:szCs w:val="28"/>
        </w:rPr>
        <w:t>В Паспорте Программы следующие разделы изложить в новой редакции:</w:t>
      </w:r>
    </w:p>
    <w:tbl>
      <w:tblPr>
        <w:tblStyle w:val="11"/>
        <w:tblW w:w="9497" w:type="dxa"/>
        <w:tblInd w:w="42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43"/>
        <w:gridCol w:w="5954"/>
      </w:tblGrid>
      <w:tr w14:paraId="18544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43" w:type="dxa"/>
          </w:tcPr>
          <w:p w14:paraId="2334B28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Объем средств бюджета Анучинского муниципального округа на финансирование муниципальной программы и прогнозная оценка привлекаемых на реализацию ее целей средств федерального, краевого бюджетов, внебюджетных источников</w:t>
            </w:r>
          </w:p>
          <w:p w14:paraId="37B23904">
            <w:pPr>
              <w:jc w:val="center"/>
              <w:rPr>
                <w:b/>
                <w:szCs w:val="28"/>
              </w:rPr>
            </w:pPr>
          </w:p>
        </w:tc>
        <w:tc>
          <w:tcPr>
            <w:tcW w:w="5954" w:type="dxa"/>
          </w:tcPr>
          <w:p w14:paraId="4B4222F9">
            <w:pPr>
              <w:ind w:firstLine="318"/>
              <w:jc w:val="both"/>
              <w:rPr>
                <w:szCs w:val="28"/>
              </w:rPr>
            </w:pPr>
            <w:r>
              <w:rPr>
                <w:szCs w:val="28"/>
              </w:rPr>
              <w:t>Общий объем средств, необходимых на финансирование мероприятий Программы составляет 1</w:t>
            </w:r>
            <w:r>
              <w:rPr>
                <w:rFonts w:hint="default"/>
                <w:szCs w:val="28"/>
                <w:lang w:val="ru-RU"/>
              </w:rPr>
              <w:t>592,00</w:t>
            </w:r>
            <w:r>
              <w:rPr>
                <w:szCs w:val="28"/>
              </w:rPr>
              <w:t xml:space="preserve"> тыс. руб., в том числе:</w:t>
            </w:r>
          </w:p>
          <w:p w14:paraId="4344801A">
            <w:pPr>
              <w:ind w:firstLine="318"/>
              <w:jc w:val="both"/>
              <w:rPr>
                <w:szCs w:val="28"/>
              </w:rPr>
            </w:pPr>
            <w:r>
              <w:rPr>
                <w:szCs w:val="28"/>
              </w:rPr>
              <w:t>Объем средств федерального бюджета - 0,0</w:t>
            </w:r>
            <w:r>
              <w:rPr>
                <w:bCs/>
                <w:snapToGrid w:val="0"/>
                <w:szCs w:val="28"/>
              </w:rPr>
              <w:t xml:space="preserve"> тыс.</w:t>
            </w:r>
            <w:r>
              <w:rPr>
                <w:szCs w:val="28"/>
              </w:rPr>
              <w:t xml:space="preserve"> руб., в том числе по годам:</w:t>
            </w:r>
          </w:p>
          <w:p w14:paraId="35F3308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2025 год - 0,0 тыс. руб.;</w:t>
            </w:r>
          </w:p>
          <w:p w14:paraId="4D995EAB">
            <w:pPr>
              <w:rPr>
                <w:szCs w:val="28"/>
              </w:rPr>
            </w:pPr>
            <w:r>
              <w:rPr>
                <w:szCs w:val="28"/>
              </w:rPr>
              <w:t>2026 год - 0,0 тыс. руб.;</w:t>
            </w:r>
          </w:p>
          <w:p w14:paraId="0FD1A5BC">
            <w:pPr>
              <w:rPr>
                <w:szCs w:val="28"/>
              </w:rPr>
            </w:pPr>
            <w:r>
              <w:rPr>
                <w:szCs w:val="28"/>
              </w:rPr>
              <w:t>2027 год - 0,0 тыс. руб.;</w:t>
            </w:r>
          </w:p>
          <w:p w14:paraId="78CFC814">
            <w:pPr>
              <w:rPr>
                <w:szCs w:val="28"/>
              </w:rPr>
            </w:pPr>
            <w:r>
              <w:rPr>
                <w:szCs w:val="28"/>
              </w:rPr>
              <w:t>2028 год - 0,0 тыс. руб.;</w:t>
            </w:r>
          </w:p>
          <w:p w14:paraId="563B9C9A">
            <w:pPr>
              <w:rPr>
                <w:szCs w:val="28"/>
              </w:rPr>
            </w:pPr>
            <w:r>
              <w:rPr>
                <w:szCs w:val="28"/>
              </w:rPr>
              <w:t>2029 год - 0,0 тыс. руб.;</w:t>
            </w:r>
          </w:p>
          <w:p w14:paraId="47F3AB2B">
            <w:pPr>
              <w:ind w:firstLine="318"/>
              <w:jc w:val="both"/>
              <w:rPr>
                <w:szCs w:val="28"/>
              </w:rPr>
            </w:pPr>
            <w:r>
              <w:rPr>
                <w:szCs w:val="28"/>
              </w:rPr>
              <w:t>Объем средств краевого бюджета -</w:t>
            </w:r>
            <w:r>
              <w:rPr>
                <w:bCs/>
                <w:snapToGrid w:val="0"/>
                <w:szCs w:val="28"/>
              </w:rPr>
              <w:t xml:space="preserve"> 0,0 </w:t>
            </w:r>
            <w:r>
              <w:rPr>
                <w:szCs w:val="28"/>
              </w:rPr>
              <w:t>тыс. руб., в том числе по годам:</w:t>
            </w:r>
          </w:p>
          <w:p w14:paraId="69FA67A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2025 год - 0,0 тыс. руб.;</w:t>
            </w:r>
          </w:p>
          <w:p w14:paraId="4668A753">
            <w:pPr>
              <w:rPr>
                <w:szCs w:val="28"/>
              </w:rPr>
            </w:pPr>
            <w:r>
              <w:rPr>
                <w:szCs w:val="28"/>
              </w:rPr>
              <w:t>2026 год - 0,0 тыс. руб.;</w:t>
            </w:r>
          </w:p>
          <w:p w14:paraId="37E7F392">
            <w:pPr>
              <w:rPr>
                <w:szCs w:val="28"/>
              </w:rPr>
            </w:pPr>
            <w:r>
              <w:rPr>
                <w:szCs w:val="28"/>
              </w:rPr>
              <w:t>2027 год - 0,0 тыс. руб.;</w:t>
            </w:r>
          </w:p>
          <w:p w14:paraId="5877E867">
            <w:pPr>
              <w:rPr>
                <w:szCs w:val="28"/>
              </w:rPr>
            </w:pPr>
            <w:r>
              <w:rPr>
                <w:szCs w:val="28"/>
              </w:rPr>
              <w:t>2028 год - 0,0 тыс. руб.;</w:t>
            </w:r>
          </w:p>
          <w:p w14:paraId="0B1B9262">
            <w:pPr>
              <w:rPr>
                <w:szCs w:val="28"/>
              </w:rPr>
            </w:pPr>
            <w:r>
              <w:rPr>
                <w:szCs w:val="28"/>
              </w:rPr>
              <w:t>2029 год - 0,0 тыс. руб.;</w:t>
            </w:r>
          </w:p>
          <w:p w14:paraId="3BCB80B6">
            <w:pPr>
              <w:ind w:firstLine="318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Объем средств бюджета </w:t>
            </w:r>
            <w:r>
              <w:rPr>
                <w:bCs/>
                <w:snapToGrid w:val="0"/>
                <w:szCs w:val="28"/>
              </w:rPr>
              <w:t>Анучинского муниципального округа -</w:t>
            </w:r>
            <w:r>
              <w:rPr>
                <w:szCs w:val="28"/>
              </w:rPr>
              <w:t xml:space="preserve"> 1</w:t>
            </w:r>
            <w:r>
              <w:rPr>
                <w:rFonts w:hint="default"/>
                <w:szCs w:val="28"/>
                <w:lang w:val="ru-RU"/>
              </w:rPr>
              <w:t>592,00</w:t>
            </w:r>
            <w:r>
              <w:rPr>
                <w:bCs/>
                <w:snapToGrid w:val="0"/>
                <w:szCs w:val="28"/>
              </w:rPr>
              <w:t xml:space="preserve"> </w:t>
            </w:r>
            <w:r>
              <w:rPr>
                <w:szCs w:val="28"/>
              </w:rPr>
              <w:t>тыс. руб., в том числе по годам:</w:t>
            </w:r>
          </w:p>
          <w:p w14:paraId="0915880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2025 год -</w:t>
            </w:r>
            <w:r>
              <w:rPr>
                <w:rFonts w:hint="default"/>
                <w:szCs w:val="28"/>
                <w:lang w:val="ru-RU"/>
              </w:rPr>
              <w:t>378,4</w:t>
            </w:r>
            <w:r>
              <w:rPr>
                <w:szCs w:val="28"/>
              </w:rPr>
              <w:t xml:space="preserve"> тыс. руб.;</w:t>
            </w:r>
          </w:p>
          <w:p w14:paraId="1A1154EF">
            <w:pPr>
              <w:rPr>
                <w:szCs w:val="28"/>
              </w:rPr>
            </w:pPr>
            <w:r>
              <w:rPr>
                <w:szCs w:val="28"/>
              </w:rPr>
              <w:t>2026 год - 378,4 тыс. руб.;</w:t>
            </w:r>
          </w:p>
          <w:p w14:paraId="25F4121E">
            <w:pPr>
              <w:rPr>
                <w:szCs w:val="28"/>
              </w:rPr>
            </w:pPr>
            <w:r>
              <w:rPr>
                <w:szCs w:val="28"/>
              </w:rPr>
              <w:t>2027 год - 78,4 тыс. руб.;</w:t>
            </w:r>
          </w:p>
          <w:p w14:paraId="1F67D2B5">
            <w:pPr>
              <w:rPr>
                <w:szCs w:val="28"/>
              </w:rPr>
            </w:pPr>
            <w:r>
              <w:rPr>
                <w:szCs w:val="28"/>
              </w:rPr>
              <w:t xml:space="preserve">2028 год - </w:t>
            </w:r>
            <w:r>
              <w:rPr>
                <w:rFonts w:hint="default"/>
                <w:szCs w:val="28"/>
                <w:lang w:val="ru-RU"/>
              </w:rPr>
              <w:t>3</w:t>
            </w:r>
            <w:r>
              <w:rPr>
                <w:szCs w:val="28"/>
              </w:rPr>
              <w:t>78,4 тыс. руб.;</w:t>
            </w:r>
          </w:p>
          <w:p w14:paraId="6D0B1A01">
            <w:pPr>
              <w:rPr>
                <w:szCs w:val="28"/>
              </w:rPr>
            </w:pPr>
            <w:r>
              <w:rPr>
                <w:szCs w:val="28"/>
              </w:rPr>
              <w:t>2029 год - 378,4 тыс. руб.</w:t>
            </w:r>
          </w:p>
          <w:p w14:paraId="5DF197AA">
            <w:pPr>
              <w:jc w:val="center"/>
              <w:rPr>
                <w:b/>
                <w:szCs w:val="28"/>
              </w:rPr>
            </w:pPr>
          </w:p>
        </w:tc>
      </w:tr>
      <w:tr w14:paraId="78C699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43" w:type="dxa"/>
          </w:tcPr>
          <w:p w14:paraId="57237A9C">
            <w:pPr>
              <w:jc w:val="center"/>
              <w:rPr>
                <w:rFonts w:hint="default"/>
                <w:b/>
                <w:szCs w:val="28"/>
                <w:lang w:val="ru-RU"/>
              </w:rPr>
            </w:pPr>
            <w:r>
              <w:rPr>
                <w:b w:val="0"/>
                <w:bCs/>
                <w:szCs w:val="28"/>
                <w:lang w:val="ru-RU"/>
              </w:rPr>
              <w:t>Индикаторы</w:t>
            </w:r>
            <w:r>
              <w:rPr>
                <w:rFonts w:hint="default"/>
                <w:b w:val="0"/>
                <w:bCs/>
                <w:szCs w:val="28"/>
                <w:lang w:val="ru-RU"/>
              </w:rPr>
              <w:t xml:space="preserve"> (показатели) муниципальной программы</w:t>
            </w:r>
          </w:p>
        </w:tc>
        <w:tc>
          <w:tcPr>
            <w:tcW w:w="5954" w:type="dxa"/>
          </w:tcPr>
          <w:p w14:paraId="1FB3C7F9">
            <w:pPr>
              <w:numPr>
                <w:ilvl w:val="0"/>
                <w:numId w:val="3"/>
              </w:numPr>
              <w:rPr>
                <w:bCs/>
                <w:sz w:val="24"/>
                <w:szCs w:val="24"/>
              </w:rPr>
            </w:pPr>
            <w:r>
              <w:rPr>
                <w:bCs/>
                <w:szCs w:val="28"/>
              </w:rPr>
              <w:t>Количество</w:t>
            </w:r>
            <w:r>
              <w:rPr>
                <w:bCs/>
                <w:szCs w:val="28"/>
                <w:lang w:val="en-US"/>
              </w:rPr>
              <w:t xml:space="preserve"> приобретённого (построенного) жилья;</w:t>
            </w:r>
            <w:r>
              <w:rPr>
                <w:bCs/>
                <w:sz w:val="24"/>
                <w:szCs w:val="24"/>
              </w:rPr>
              <w:t xml:space="preserve">  </w:t>
            </w:r>
          </w:p>
          <w:p w14:paraId="4F0B5FF1">
            <w:pPr>
              <w:numPr>
                <w:ilvl w:val="0"/>
                <w:numId w:val="3"/>
              </w:numPr>
              <w:rPr>
                <w:bCs/>
                <w:szCs w:val="28"/>
              </w:rPr>
            </w:pPr>
            <w:r>
              <w:rPr>
                <w:bCs/>
                <w:szCs w:val="28"/>
              </w:rPr>
              <w:t>Количество молодых специалистов;</w:t>
            </w:r>
          </w:p>
          <w:p w14:paraId="6098F0E9">
            <w:pPr>
              <w:jc w:val="center"/>
              <w:rPr>
                <w:b/>
                <w:szCs w:val="28"/>
              </w:rPr>
            </w:pPr>
          </w:p>
        </w:tc>
      </w:tr>
      <w:tr w14:paraId="5AE1C9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43" w:type="dxa"/>
          </w:tcPr>
          <w:p w14:paraId="740D4CE7">
            <w:pPr>
              <w:jc w:val="center"/>
              <w:rPr>
                <w:b/>
                <w:szCs w:val="28"/>
              </w:rPr>
            </w:pPr>
            <w:r>
              <w:rPr>
                <w:szCs w:val="28"/>
              </w:rPr>
              <w:t>Ожидаемые результаты реализации муниципальной программы</w:t>
            </w:r>
          </w:p>
        </w:tc>
        <w:tc>
          <w:tcPr>
            <w:tcW w:w="5954" w:type="dxa"/>
          </w:tcPr>
          <w:p w14:paraId="3D4C25E4">
            <w:pPr>
              <w:numPr>
                <w:ilvl w:val="0"/>
                <w:numId w:val="4"/>
              </w:numPr>
              <w:jc w:val="both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Увеличение количества жилья, предоставляемое (построенного) гражданам сельских территорий - 10 ед.;</w:t>
            </w:r>
          </w:p>
          <w:p w14:paraId="2D566BEE">
            <w:pPr>
              <w:numPr>
                <w:ilvl w:val="0"/>
                <w:numId w:val="4"/>
              </w:numPr>
              <w:jc w:val="both"/>
              <w:rPr>
                <w:rFonts w:eastAsia="Calibri"/>
                <w:szCs w:val="28"/>
              </w:rPr>
            </w:pPr>
            <w:r>
              <w:rPr>
                <w:szCs w:val="28"/>
              </w:rPr>
              <w:t xml:space="preserve">Закрепление квалифицированных молодых кадров на селе и в сельскохозяйственном производстве </w:t>
            </w:r>
            <w:r>
              <w:rPr>
                <w:rFonts w:eastAsia="Calibri"/>
                <w:szCs w:val="28"/>
              </w:rPr>
              <w:t>- 4 чел.;</w:t>
            </w:r>
          </w:p>
          <w:p w14:paraId="3E2CE1DE">
            <w:pPr>
              <w:tabs>
                <w:tab w:val="left" w:pos="1335"/>
              </w:tabs>
              <w:ind w:firstLine="38"/>
              <w:jc w:val="both"/>
              <w:rPr>
                <w:bCs/>
                <w:szCs w:val="28"/>
              </w:rPr>
            </w:pPr>
          </w:p>
        </w:tc>
      </w:tr>
    </w:tbl>
    <w:p w14:paraId="22FC3B1F">
      <w:pPr>
        <w:ind w:firstLine="709"/>
        <w:jc w:val="center"/>
        <w:rPr>
          <w:b/>
          <w:sz w:val="26"/>
          <w:szCs w:val="26"/>
        </w:rPr>
      </w:pPr>
    </w:p>
    <w:p w14:paraId="4174E542">
      <w:pPr>
        <w:numPr>
          <w:ilvl w:val="1"/>
          <w:numId w:val="2"/>
        </w:numPr>
        <w:tabs>
          <w:tab w:val="left" w:pos="993"/>
        </w:tabs>
        <w:spacing w:line="360" w:lineRule="auto"/>
        <w:ind w:right="-2"/>
        <w:jc w:val="both"/>
        <w:rPr>
          <w:b/>
          <w:szCs w:val="28"/>
        </w:rPr>
      </w:pPr>
      <w:r>
        <w:rPr>
          <w:szCs w:val="28"/>
        </w:rPr>
        <w:t>Раздел 4 «Целевые показатели (индикаторы) Программы изложить в новой редакции:</w:t>
      </w:r>
    </w:p>
    <w:p w14:paraId="3C8BFC61">
      <w:pPr>
        <w:ind w:firstLine="709"/>
        <w:jc w:val="center"/>
        <w:rPr>
          <w:b/>
          <w:szCs w:val="28"/>
        </w:rPr>
      </w:pPr>
      <w:r>
        <w:rPr>
          <w:b/>
          <w:szCs w:val="28"/>
        </w:rPr>
        <w:t>4. Целевые показатели (индикаторы) Программы</w:t>
      </w:r>
    </w:p>
    <w:p w14:paraId="615DE230">
      <w:pPr>
        <w:ind w:firstLine="709"/>
        <w:jc w:val="center"/>
        <w:rPr>
          <w:b/>
          <w:szCs w:val="28"/>
        </w:rPr>
      </w:pPr>
    </w:p>
    <w:p w14:paraId="69BB3A2E">
      <w:pPr>
        <w:widowControl w:val="0"/>
        <w:spacing w:line="360" w:lineRule="auto"/>
        <w:ind w:firstLine="283"/>
        <w:jc w:val="both"/>
        <w:rPr>
          <w:szCs w:val="28"/>
        </w:rPr>
      </w:pPr>
      <w:r>
        <w:rPr>
          <w:szCs w:val="28"/>
        </w:rPr>
        <w:t xml:space="preserve">     Целевые показатели (индикаторы) Программы соответствуют её приоритетам, целям и задачам.</w:t>
      </w:r>
    </w:p>
    <w:p w14:paraId="4EB3E262">
      <w:pPr>
        <w:widowControl w:val="0"/>
        <w:spacing w:line="360" w:lineRule="auto"/>
        <w:ind w:firstLine="283"/>
        <w:jc w:val="both"/>
        <w:rPr>
          <w:szCs w:val="28"/>
        </w:rPr>
      </w:pPr>
      <w:r>
        <w:rPr>
          <w:szCs w:val="28"/>
        </w:rPr>
        <w:t xml:space="preserve">     Для оценки эффективности реализации Программы используются следующие показатели (индикаторы): </w:t>
      </w:r>
    </w:p>
    <w:p w14:paraId="6600A41D">
      <w:pPr>
        <w:widowControl w:val="0"/>
        <w:ind w:firstLine="283"/>
        <w:jc w:val="center"/>
        <w:rPr>
          <w:szCs w:val="28"/>
        </w:rPr>
      </w:pPr>
      <w:r>
        <w:rPr>
          <w:szCs w:val="28"/>
        </w:rPr>
        <w:t>о плановых значениях индикатора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4"/>
        <w:gridCol w:w="2588"/>
        <w:gridCol w:w="2002"/>
        <w:gridCol w:w="842"/>
        <w:gridCol w:w="803"/>
        <w:gridCol w:w="803"/>
        <w:gridCol w:w="988"/>
        <w:gridCol w:w="1034"/>
      </w:tblGrid>
      <w:tr w14:paraId="17637A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4" w:type="dxa"/>
            <w:vMerge w:val="restart"/>
            <w:shd w:val="clear" w:color="auto" w:fill="auto"/>
          </w:tcPr>
          <w:p w14:paraId="41A4D68F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№ п/п</w:t>
            </w:r>
          </w:p>
        </w:tc>
        <w:tc>
          <w:tcPr>
            <w:tcW w:w="2588" w:type="dxa"/>
            <w:vMerge w:val="restart"/>
            <w:shd w:val="clear" w:color="auto" w:fill="auto"/>
          </w:tcPr>
          <w:p w14:paraId="6BC8069C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Наименование индикатора</w:t>
            </w:r>
          </w:p>
        </w:tc>
        <w:tc>
          <w:tcPr>
            <w:tcW w:w="2002" w:type="dxa"/>
            <w:vMerge w:val="restart"/>
            <w:shd w:val="clear" w:color="auto" w:fill="auto"/>
          </w:tcPr>
          <w:p w14:paraId="73B286A1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Единица измерения</w:t>
            </w:r>
          </w:p>
        </w:tc>
        <w:tc>
          <w:tcPr>
            <w:tcW w:w="4470" w:type="dxa"/>
            <w:gridSpan w:val="5"/>
            <w:shd w:val="clear" w:color="auto" w:fill="auto"/>
          </w:tcPr>
          <w:p w14:paraId="22E3C75A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Базовый период, год</w:t>
            </w:r>
          </w:p>
        </w:tc>
      </w:tr>
      <w:tr w14:paraId="4B968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4" w:type="dxa"/>
            <w:vMerge w:val="continue"/>
            <w:shd w:val="clear" w:color="auto" w:fill="auto"/>
          </w:tcPr>
          <w:p w14:paraId="5E67D96E">
            <w:pPr>
              <w:widowControl w:val="0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2588" w:type="dxa"/>
            <w:vMerge w:val="continue"/>
            <w:shd w:val="clear" w:color="auto" w:fill="auto"/>
          </w:tcPr>
          <w:p w14:paraId="510D4313">
            <w:pPr>
              <w:widowControl w:val="0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2002" w:type="dxa"/>
            <w:vMerge w:val="continue"/>
            <w:shd w:val="clear" w:color="auto" w:fill="auto"/>
          </w:tcPr>
          <w:p w14:paraId="04D3223F">
            <w:pPr>
              <w:widowControl w:val="0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842" w:type="dxa"/>
            <w:shd w:val="clear" w:color="auto" w:fill="auto"/>
          </w:tcPr>
          <w:p w14:paraId="32D58568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2025 </w:t>
            </w:r>
          </w:p>
        </w:tc>
        <w:tc>
          <w:tcPr>
            <w:tcW w:w="803" w:type="dxa"/>
            <w:shd w:val="clear" w:color="auto" w:fill="auto"/>
          </w:tcPr>
          <w:p w14:paraId="446BBB4D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2026 </w:t>
            </w:r>
          </w:p>
        </w:tc>
        <w:tc>
          <w:tcPr>
            <w:tcW w:w="803" w:type="dxa"/>
            <w:shd w:val="clear" w:color="auto" w:fill="auto"/>
          </w:tcPr>
          <w:p w14:paraId="73FD4E9D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2027 </w:t>
            </w:r>
          </w:p>
        </w:tc>
        <w:tc>
          <w:tcPr>
            <w:tcW w:w="988" w:type="dxa"/>
            <w:shd w:val="clear" w:color="auto" w:fill="auto"/>
          </w:tcPr>
          <w:p w14:paraId="57BDCE7A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2028 </w:t>
            </w:r>
          </w:p>
        </w:tc>
        <w:tc>
          <w:tcPr>
            <w:tcW w:w="1034" w:type="dxa"/>
          </w:tcPr>
          <w:p w14:paraId="27A6F876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2029</w:t>
            </w:r>
          </w:p>
        </w:tc>
      </w:tr>
      <w:tr w14:paraId="3A6294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4" w:type="dxa"/>
            <w:shd w:val="clear" w:color="auto" w:fill="auto"/>
          </w:tcPr>
          <w:p w14:paraId="69D451A0">
            <w:pPr>
              <w:widowControl w:val="0"/>
              <w:jc w:val="center"/>
              <w:rPr>
                <w:rFonts w:eastAsia="Calibri"/>
                <w:szCs w:val="28"/>
              </w:rPr>
            </w:pPr>
          </w:p>
        </w:tc>
        <w:tc>
          <w:tcPr>
            <w:tcW w:w="9060" w:type="dxa"/>
            <w:gridSpan w:val="7"/>
            <w:shd w:val="clear" w:color="auto" w:fill="auto"/>
          </w:tcPr>
          <w:p w14:paraId="114C5D37">
            <w:pPr>
              <w:pStyle w:val="16"/>
              <w:numPr>
                <w:ilvl w:val="0"/>
                <w:numId w:val="5"/>
              </w:num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Подпрограмма «Обеспечение граждан сельских территорий жильём и закрепление молодых специалистов на селе и в сельском хозяйстве</w:t>
            </w:r>
          </w:p>
          <w:p w14:paraId="39A0C4A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на территории Анучинского муниципального округа» на 2025 - 2029 годы</w:t>
            </w:r>
          </w:p>
          <w:p w14:paraId="67A4DA96">
            <w:pPr>
              <w:rPr>
                <w:bCs/>
                <w:szCs w:val="28"/>
              </w:rPr>
            </w:pPr>
          </w:p>
        </w:tc>
      </w:tr>
      <w:tr w14:paraId="54AA41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4" w:type="dxa"/>
            <w:shd w:val="clear" w:color="auto" w:fill="auto"/>
          </w:tcPr>
          <w:p w14:paraId="72F5E375">
            <w:pPr>
              <w:widowControl w:val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1.1.</w:t>
            </w:r>
          </w:p>
        </w:tc>
        <w:tc>
          <w:tcPr>
            <w:tcW w:w="2588" w:type="dxa"/>
            <w:shd w:val="clear" w:color="auto" w:fill="auto"/>
          </w:tcPr>
          <w:p w14:paraId="5E240566">
            <w:pPr>
              <w:ind w:left="60"/>
              <w:rPr>
                <w:bCs/>
                <w:sz w:val="24"/>
                <w:szCs w:val="24"/>
                <w:lang w:val="en-US"/>
              </w:rPr>
            </w:pPr>
            <w:r>
              <w:rPr>
                <w:bCs/>
                <w:sz w:val="24"/>
                <w:szCs w:val="24"/>
              </w:rPr>
              <w:t>Количество</w:t>
            </w:r>
            <w:r>
              <w:rPr>
                <w:bCs/>
                <w:sz w:val="24"/>
                <w:szCs w:val="24"/>
                <w:lang w:val="en-US"/>
              </w:rPr>
              <w:t xml:space="preserve"> приобретённого (построенного) жилья</w:t>
            </w:r>
          </w:p>
          <w:p w14:paraId="26F00AAC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02" w:type="dxa"/>
            <w:shd w:val="clear" w:color="auto" w:fill="auto"/>
          </w:tcPr>
          <w:p w14:paraId="61D6428C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Квартир,</w:t>
            </w:r>
          </w:p>
          <w:p w14:paraId="73C3DB6F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домов</w:t>
            </w:r>
          </w:p>
        </w:tc>
        <w:tc>
          <w:tcPr>
            <w:tcW w:w="842" w:type="dxa"/>
            <w:shd w:val="clear" w:color="auto" w:fill="auto"/>
          </w:tcPr>
          <w:p w14:paraId="3BC624B7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</w:t>
            </w:r>
          </w:p>
        </w:tc>
        <w:tc>
          <w:tcPr>
            <w:tcW w:w="803" w:type="dxa"/>
            <w:shd w:val="clear" w:color="auto" w:fill="auto"/>
          </w:tcPr>
          <w:p w14:paraId="3B7B4FD5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</w:t>
            </w:r>
          </w:p>
        </w:tc>
        <w:tc>
          <w:tcPr>
            <w:tcW w:w="803" w:type="dxa"/>
            <w:shd w:val="clear" w:color="auto" w:fill="auto"/>
          </w:tcPr>
          <w:p w14:paraId="04B25F92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</w:t>
            </w:r>
          </w:p>
        </w:tc>
        <w:tc>
          <w:tcPr>
            <w:tcW w:w="988" w:type="dxa"/>
            <w:shd w:val="clear" w:color="auto" w:fill="auto"/>
          </w:tcPr>
          <w:p w14:paraId="4A09189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</w:t>
            </w:r>
          </w:p>
        </w:tc>
        <w:tc>
          <w:tcPr>
            <w:tcW w:w="1034" w:type="dxa"/>
          </w:tcPr>
          <w:p w14:paraId="5A0032D0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</w:t>
            </w:r>
          </w:p>
        </w:tc>
      </w:tr>
      <w:tr w14:paraId="5A9058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4" w:type="dxa"/>
            <w:shd w:val="clear" w:color="auto" w:fill="auto"/>
          </w:tcPr>
          <w:p w14:paraId="22B23405">
            <w:pPr>
              <w:widowControl w:val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1.2.</w:t>
            </w:r>
          </w:p>
        </w:tc>
        <w:tc>
          <w:tcPr>
            <w:tcW w:w="2588" w:type="dxa"/>
            <w:shd w:val="clear" w:color="auto" w:fill="auto"/>
          </w:tcPr>
          <w:p w14:paraId="298264A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Количество молодых специалистов</w:t>
            </w:r>
          </w:p>
        </w:tc>
        <w:tc>
          <w:tcPr>
            <w:tcW w:w="2002" w:type="dxa"/>
            <w:shd w:val="clear" w:color="auto" w:fill="auto"/>
          </w:tcPr>
          <w:p w14:paraId="0A5B52E7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Чел.</w:t>
            </w:r>
          </w:p>
        </w:tc>
        <w:tc>
          <w:tcPr>
            <w:tcW w:w="842" w:type="dxa"/>
            <w:shd w:val="clear" w:color="auto" w:fill="auto"/>
          </w:tcPr>
          <w:p w14:paraId="6C88164C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</w:t>
            </w:r>
          </w:p>
        </w:tc>
        <w:tc>
          <w:tcPr>
            <w:tcW w:w="803" w:type="dxa"/>
            <w:shd w:val="clear" w:color="auto" w:fill="auto"/>
          </w:tcPr>
          <w:p w14:paraId="3BCC4C28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</w:t>
            </w:r>
          </w:p>
        </w:tc>
        <w:tc>
          <w:tcPr>
            <w:tcW w:w="803" w:type="dxa"/>
            <w:shd w:val="clear" w:color="auto" w:fill="auto"/>
          </w:tcPr>
          <w:p w14:paraId="27927FC3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0</w:t>
            </w:r>
          </w:p>
        </w:tc>
        <w:tc>
          <w:tcPr>
            <w:tcW w:w="988" w:type="dxa"/>
            <w:shd w:val="clear" w:color="auto" w:fill="auto"/>
          </w:tcPr>
          <w:p w14:paraId="3A3C1E87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</w:t>
            </w:r>
          </w:p>
        </w:tc>
        <w:tc>
          <w:tcPr>
            <w:tcW w:w="1034" w:type="dxa"/>
          </w:tcPr>
          <w:p w14:paraId="2F6BEDD9">
            <w:pPr>
              <w:widowControl w:val="0"/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</w:t>
            </w:r>
          </w:p>
        </w:tc>
      </w:tr>
    </w:tbl>
    <w:p w14:paraId="5A2804BA">
      <w:pPr>
        <w:widowControl w:val="0"/>
        <w:autoSpaceDE w:val="0"/>
        <w:autoSpaceDN w:val="0"/>
        <w:adjustRightInd w:val="0"/>
        <w:spacing w:line="360" w:lineRule="auto"/>
        <w:ind w:left="80" w:firstLine="720"/>
        <w:rPr>
          <w:b/>
          <w:szCs w:val="28"/>
        </w:rPr>
      </w:pPr>
    </w:p>
    <w:p w14:paraId="4C4A4011">
      <w:pPr>
        <w:spacing w:line="360" w:lineRule="auto"/>
        <w:ind w:right="139"/>
        <w:jc w:val="both"/>
        <w:rPr>
          <w:color w:val="000000"/>
          <w:szCs w:val="28"/>
        </w:rPr>
      </w:pPr>
      <w:r>
        <w:rPr>
          <w:szCs w:val="28"/>
        </w:rPr>
        <w:t xml:space="preserve">1.3. Приложение №1 «Обобщённая характеристика реализуемых в составе Программы подпрограмм и отдельных мероприятий» и Приложение № 3 «Информация о ресурсном обеспечении муниципальной программы за счёт средств бюджета Анучинского муниципального округа Приморского края и прогнозная оценка привлекаемых на реализацию её целей средств федерального бюджета, краевого бюджета» Программы изложить в новой редакции (Прилагаются). </w:t>
      </w:r>
    </w:p>
    <w:p w14:paraId="5788A69D">
      <w:pPr>
        <w:spacing w:line="360" w:lineRule="auto"/>
        <w:ind w:right="139"/>
        <w:jc w:val="both"/>
        <w:rPr>
          <w:rFonts w:hint="default"/>
          <w:szCs w:val="28"/>
          <w:lang w:val="ru-RU"/>
        </w:rPr>
      </w:pPr>
      <w:r>
        <w:rPr>
          <w:color w:val="000000"/>
          <w:szCs w:val="28"/>
        </w:rPr>
        <w:t>1.6. Паспорта Подпрограмм №  2, 3</w:t>
      </w:r>
      <w:r>
        <w:rPr>
          <w:rFonts w:hint="default"/>
          <w:color w:val="000000"/>
          <w:szCs w:val="28"/>
          <w:lang w:val="ru-RU"/>
        </w:rPr>
        <w:t xml:space="preserve"> </w:t>
      </w:r>
      <w:r>
        <w:rPr>
          <w:color w:val="000000"/>
          <w:szCs w:val="28"/>
          <w:lang w:val="ru-RU"/>
        </w:rPr>
        <w:t>исключить</w:t>
      </w:r>
      <w:r>
        <w:rPr>
          <w:rFonts w:hint="default"/>
          <w:color w:val="000000"/>
          <w:szCs w:val="28"/>
          <w:lang w:val="ru-RU"/>
        </w:rPr>
        <w:t xml:space="preserve"> из Программы.</w:t>
      </w:r>
    </w:p>
    <w:p w14:paraId="306CB817">
      <w:pPr>
        <w:numPr>
          <w:ilvl w:val="0"/>
          <w:numId w:val="1"/>
        </w:numPr>
        <w:tabs>
          <w:tab w:val="left" w:pos="993"/>
        </w:tabs>
        <w:spacing w:line="360" w:lineRule="auto"/>
        <w:ind w:left="0" w:right="-2" w:firstLine="709"/>
        <w:jc w:val="both"/>
        <w:rPr>
          <w:b/>
          <w:bCs/>
          <w:i/>
          <w:iCs/>
          <w:szCs w:val="28"/>
        </w:rPr>
      </w:pPr>
      <w:r>
        <w:rPr>
          <w:szCs w:val="28"/>
        </w:rPr>
        <w:t>Аппарату   администрации Анучинского муниципального округа (Бурдейная) разместить постановление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14:paraId="55DF2924">
      <w:pPr>
        <w:widowControl w:val="0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szCs w:val="28"/>
        </w:rPr>
      </w:pPr>
      <w:r>
        <w:rPr>
          <w:szCs w:val="28"/>
        </w:rPr>
        <w:t>Контроль за исполнением настоящего постановления оставляю за собой.</w:t>
      </w:r>
    </w:p>
    <w:p w14:paraId="6D3A1B4C">
      <w:pPr>
        <w:spacing w:line="360" w:lineRule="auto"/>
        <w:rPr>
          <w:szCs w:val="28"/>
        </w:rPr>
      </w:pPr>
    </w:p>
    <w:p w14:paraId="69362EEA">
      <w:pPr>
        <w:rPr>
          <w:szCs w:val="28"/>
        </w:rPr>
      </w:pPr>
      <w:r>
        <w:rPr>
          <w:szCs w:val="28"/>
          <w:lang w:val="ru-RU"/>
        </w:rPr>
        <w:t>Г</w:t>
      </w:r>
      <w:r>
        <w:rPr>
          <w:szCs w:val="28"/>
        </w:rPr>
        <w:t>лава  Анучинского</w:t>
      </w:r>
    </w:p>
    <w:p w14:paraId="5EB2AE08">
      <w:pPr>
        <w:rPr>
          <w:szCs w:val="28"/>
        </w:rPr>
        <w:sectPr>
          <w:pgSz w:w="11906" w:h="16838"/>
          <w:pgMar w:top="567" w:right="850" w:bottom="1134" w:left="1417" w:header="720" w:footer="720" w:gutter="0"/>
          <w:cols w:space="708" w:num="1"/>
          <w:docGrid w:linePitch="360" w:charSpace="0"/>
        </w:sectPr>
      </w:pPr>
      <w:r>
        <w:rPr>
          <w:szCs w:val="28"/>
        </w:rPr>
        <w:t>муниципального округа                                                                              А.Я.Янчук</w:t>
      </w:r>
    </w:p>
    <w:p w14:paraId="07CB5FBF">
      <w:pPr>
        <w:widowControl w:val="0"/>
        <w:autoSpaceDE w:val="0"/>
        <w:autoSpaceDN w:val="0"/>
        <w:adjustRightInd w:val="0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№1</w:t>
      </w:r>
    </w:p>
    <w:p w14:paraId="2024D903">
      <w:pPr>
        <w:widowControl w:val="0"/>
        <w:wordWrap w:val="0"/>
        <w:autoSpaceDE w:val="0"/>
        <w:autoSpaceDN w:val="0"/>
        <w:adjustRightInd w:val="0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муниципальной программе «Комплексное развитие сельских территорий </w:t>
      </w:r>
    </w:p>
    <w:p w14:paraId="40A60B87">
      <w:pPr>
        <w:widowControl w:val="0"/>
        <w:wordWrap w:val="0"/>
        <w:autoSpaceDE w:val="0"/>
        <w:autoSpaceDN w:val="0"/>
        <w:adjustRightInd w:val="0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>Анучинского муниципального округа» на 2025-2029 годы,</w:t>
      </w:r>
    </w:p>
    <w:p w14:paraId="3D14FFCD">
      <w:pPr>
        <w:widowControl w:val="0"/>
        <w:wordWrap w:val="0"/>
        <w:autoSpaceDE w:val="0"/>
        <w:autoSpaceDN w:val="0"/>
        <w:adjustRightInd w:val="0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утверждённой, постановлением администрации </w:t>
      </w:r>
    </w:p>
    <w:p w14:paraId="69A6396E">
      <w:pPr>
        <w:widowControl w:val="0"/>
        <w:wordWrap w:val="0"/>
        <w:autoSpaceDE w:val="0"/>
        <w:autoSpaceDN w:val="0"/>
        <w:adjustRightInd w:val="0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Анучинского муниципального округа Приморского края </w:t>
      </w:r>
    </w:p>
    <w:p w14:paraId="28F628A0">
      <w:pPr>
        <w:widowControl w:val="0"/>
        <w:wordWrap w:val="0"/>
        <w:autoSpaceDE w:val="0"/>
        <w:autoSpaceDN w:val="0"/>
        <w:adjustRightInd w:val="0"/>
        <w:spacing w:line="276" w:lineRule="auto"/>
        <w:jc w:val="right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от 22.05.2024 № 449</w:t>
      </w:r>
    </w:p>
    <w:p w14:paraId="068138AD">
      <w:pPr>
        <w:widowControl w:val="0"/>
        <w:autoSpaceDE w:val="0"/>
        <w:autoSpaceDN w:val="0"/>
        <w:adjustRightInd w:val="0"/>
        <w:spacing w:line="276" w:lineRule="auto"/>
        <w:jc w:val="right"/>
        <w:rPr>
          <w:szCs w:val="28"/>
        </w:rPr>
      </w:pPr>
    </w:p>
    <w:p w14:paraId="26680151">
      <w:pPr>
        <w:widowControl w:val="0"/>
        <w:autoSpaceDE w:val="0"/>
        <w:autoSpaceDN w:val="0"/>
        <w:adjustRightInd w:val="0"/>
        <w:spacing w:line="276" w:lineRule="auto"/>
        <w:jc w:val="center"/>
        <w:rPr>
          <w:sz w:val="24"/>
          <w:szCs w:val="24"/>
        </w:rPr>
      </w:pPr>
      <w:r>
        <w:rPr>
          <w:szCs w:val="28"/>
        </w:rPr>
        <w:t xml:space="preserve"> </w:t>
      </w:r>
      <w:r>
        <w:rPr>
          <w:sz w:val="24"/>
          <w:szCs w:val="24"/>
        </w:rPr>
        <w:t xml:space="preserve"> Обобщённая характеристика реализуемых в составе Программы подпрограмм и отдельных мероприятий</w:t>
      </w:r>
    </w:p>
    <w:p w14:paraId="7F074A4D">
      <w:pPr>
        <w:widowControl w:val="0"/>
        <w:autoSpaceDE w:val="0"/>
        <w:autoSpaceDN w:val="0"/>
        <w:adjustRightInd w:val="0"/>
        <w:spacing w:line="276" w:lineRule="auto"/>
        <w:ind w:firstLine="720"/>
        <w:jc w:val="both"/>
        <w:rPr>
          <w:szCs w:val="28"/>
        </w:rPr>
      </w:pPr>
    </w:p>
    <w:tbl>
      <w:tblPr>
        <w:tblStyle w:val="4"/>
        <w:tblW w:w="14216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8"/>
        <w:gridCol w:w="3315"/>
        <w:gridCol w:w="2250"/>
        <w:gridCol w:w="1365"/>
        <w:gridCol w:w="1335"/>
        <w:gridCol w:w="2912"/>
        <w:gridCol w:w="10"/>
        <w:gridCol w:w="2401"/>
        <w:gridCol w:w="10"/>
      </w:tblGrid>
      <w:tr w14:paraId="64C6B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618" w:type="dxa"/>
            <w:vMerge w:val="restart"/>
            <w:shd w:val="clear" w:color="auto" w:fill="auto"/>
          </w:tcPr>
          <w:p w14:paraId="55BA6FEC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№ п/п</w:t>
            </w:r>
          </w:p>
        </w:tc>
        <w:tc>
          <w:tcPr>
            <w:tcW w:w="3315" w:type="dxa"/>
            <w:vMerge w:val="restart"/>
            <w:shd w:val="clear" w:color="auto" w:fill="auto"/>
          </w:tcPr>
          <w:p w14:paraId="6C6485A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250" w:type="dxa"/>
            <w:vMerge w:val="restart"/>
            <w:shd w:val="clear" w:color="auto" w:fill="auto"/>
          </w:tcPr>
          <w:p w14:paraId="6767439C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Ответственный исполнитель, соисполнители</w:t>
            </w:r>
          </w:p>
        </w:tc>
        <w:tc>
          <w:tcPr>
            <w:tcW w:w="2700" w:type="dxa"/>
            <w:gridSpan w:val="2"/>
            <w:shd w:val="clear" w:color="auto" w:fill="auto"/>
          </w:tcPr>
          <w:p w14:paraId="7F99948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 xml:space="preserve">Срок </w:t>
            </w:r>
          </w:p>
        </w:tc>
        <w:tc>
          <w:tcPr>
            <w:tcW w:w="2922" w:type="dxa"/>
            <w:gridSpan w:val="2"/>
            <w:shd w:val="clear" w:color="auto" w:fill="auto"/>
          </w:tcPr>
          <w:p w14:paraId="41E31B17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Ожидаемый результат (краткое описание)</w:t>
            </w:r>
          </w:p>
        </w:tc>
        <w:tc>
          <w:tcPr>
            <w:tcW w:w="2411" w:type="dxa"/>
            <w:gridSpan w:val="2"/>
            <w:shd w:val="clear" w:color="auto" w:fill="auto"/>
          </w:tcPr>
          <w:p w14:paraId="40930F82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</w:rPr>
            </w:pPr>
            <w:r>
              <w:rPr>
                <w:rFonts w:eastAsia="Calibri"/>
                <w:sz w:val="20"/>
              </w:rPr>
              <w:t>Связь с показателями муниципальной программы</w:t>
            </w:r>
          </w:p>
        </w:tc>
      </w:tr>
      <w:tr w14:paraId="66CDB1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600" w:hRule="atLeast"/>
        </w:trPr>
        <w:tc>
          <w:tcPr>
            <w:tcW w:w="618" w:type="dxa"/>
            <w:vMerge w:val="continue"/>
            <w:shd w:val="clear" w:color="auto" w:fill="auto"/>
          </w:tcPr>
          <w:p w14:paraId="35CE4A3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</w:rPr>
            </w:pPr>
          </w:p>
        </w:tc>
        <w:tc>
          <w:tcPr>
            <w:tcW w:w="3315" w:type="dxa"/>
            <w:vMerge w:val="continue"/>
            <w:shd w:val="clear" w:color="auto" w:fill="auto"/>
          </w:tcPr>
          <w:p w14:paraId="4600F3F2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</w:rPr>
            </w:pPr>
          </w:p>
        </w:tc>
        <w:tc>
          <w:tcPr>
            <w:tcW w:w="2250" w:type="dxa"/>
            <w:vMerge w:val="continue"/>
            <w:shd w:val="clear" w:color="auto" w:fill="auto"/>
          </w:tcPr>
          <w:p w14:paraId="2D9B62F5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</w:rPr>
            </w:pPr>
          </w:p>
        </w:tc>
        <w:tc>
          <w:tcPr>
            <w:tcW w:w="1365" w:type="dxa"/>
            <w:shd w:val="clear" w:color="auto" w:fill="auto"/>
          </w:tcPr>
          <w:p w14:paraId="3D3014E4">
            <w:pPr>
              <w:widowControl w:val="0"/>
              <w:tabs>
                <w:tab w:val="left" w:pos="601"/>
              </w:tabs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На начала реализации подпрограммы, отдельного мероприятия</w:t>
            </w:r>
          </w:p>
        </w:tc>
        <w:tc>
          <w:tcPr>
            <w:tcW w:w="1335" w:type="dxa"/>
            <w:shd w:val="clear" w:color="auto" w:fill="auto"/>
          </w:tcPr>
          <w:p w14:paraId="789E3808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Окончания реализации подпрограммы, отдельного мероприятия</w:t>
            </w:r>
          </w:p>
        </w:tc>
        <w:tc>
          <w:tcPr>
            <w:tcW w:w="2912" w:type="dxa"/>
            <w:shd w:val="clear" w:color="auto" w:fill="auto"/>
          </w:tcPr>
          <w:p w14:paraId="68D87680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</w:rPr>
            </w:pPr>
          </w:p>
        </w:tc>
        <w:tc>
          <w:tcPr>
            <w:tcW w:w="2411" w:type="dxa"/>
            <w:gridSpan w:val="2"/>
            <w:shd w:val="clear" w:color="auto" w:fill="auto"/>
          </w:tcPr>
          <w:p w14:paraId="53470668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</w:rPr>
            </w:pPr>
          </w:p>
        </w:tc>
      </w:tr>
      <w:tr w14:paraId="69F750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720" w:hRule="atLeast"/>
        </w:trPr>
        <w:tc>
          <w:tcPr>
            <w:tcW w:w="618" w:type="dxa"/>
            <w:vMerge w:val="continue"/>
            <w:shd w:val="clear" w:color="auto" w:fill="auto"/>
          </w:tcPr>
          <w:p w14:paraId="7C2FAB62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315" w:type="dxa"/>
            <w:vMerge w:val="continue"/>
            <w:shd w:val="clear" w:color="auto" w:fill="auto"/>
          </w:tcPr>
          <w:p w14:paraId="4BCECA15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50" w:type="dxa"/>
            <w:vMerge w:val="continue"/>
            <w:shd w:val="clear" w:color="auto" w:fill="auto"/>
          </w:tcPr>
          <w:p w14:paraId="572B6EA7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65" w:type="dxa"/>
            <w:shd w:val="clear" w:color="auto" w:fill="auto"/>
          </w:tcPr>
          <w:p w14:paraId="3840F381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35" w:type="dxa"/>
            <w:shd w:val="clear" w:color="auto" w:fill="auto"/>
          </w:tcPr>
          <w:p w14:paraId="2ECA78D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912" w:type="dxa"/>
            <w:shd w:val="clear" w:color="auto" w:fill="auto"/>
          </w:tcPr>
          <w:p w14:paraId="288B06A2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11" w:type="dxa"/>
            <w:gridSpan w:val="2"/>
            <w:shd w:val="clear" w:color="auto" w:fill="auto"/>
          </w:tcPr>
          <w:p w14:paraId="788A3A9B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4"/>
                <w:szCs w:val="24"/>
              </w:rPr>
            </w:pPr>
          </w:p>
        </w:tc>
      </w:tr>
      <w:tr w14:paraId="0A63DA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</w:trPr>
        <w:tc>
          <w:tcPr>
            <w:tcW w:w="618" w:type="dxa"/>
            <w:shd w:val="clear" w:color="auto" w:fill="auto"/>
          </w:tcPr>
          <w:p w14:paraId="4FDD284C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3315" w:type="dxa"/>
            <w:shd w:val="clear" w:color="auto" w:fill="auto"/>
          </w:tcPr>
          <w:p w14:paraId="725FD674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2250" w:type="dxa"/>
            <w:shd w:val="clear" w:color="auto" w:fill="auto"/>
          </w:tcPr>
          <w:p w14:paraId="61B32117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1365" w:type="dxa"/>
            <w:shd w:val="clear" w:color="auto" w:fill="auto"/>
          </w:tcPr>
          <w:p w14:paraId="3009606C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1335" w:type="dxa"/>
            <w:shd w:val="clear" w:color="auto" w:fill="auto"/>
          </w:tcPr>
          <w:p w14:paraId="72C4ECB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2912" w:type="dxa"/>
            <w:shd w:val="clear" w:color="auto" w:fill="auto"/>
          </w:tcPr>
          <w:p w14:paraId="07BB293E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2411" w:type="dxa"/>
            <w:gridSpan w:val="2"/>
            <w:shd w:val="clear" w:color="auto" w:fill="auto"/>
          </w:tcPr>
          <w:p w14:paraId="3229D883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7</w:t>
            </w:r>
          </w:p>
        </w:tc>
      </w:tr>
      <w:tr w14:paraId="70265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</w:trPr>
        <w:tc>
          <w:tcPr>
            <w:tcW w:w="618" w:type="dxa"/>
            <w:shd w:val="clear" w:color="auto" w:fill="auto"/>
          </w:tcPr>
          <w:p w14:paraId="33CCDF2F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3315" w:type="dxa"/>
            <w:shd w:val="clear" w:color="auto" w:fill="auto"/>
          </w:tcPr>
          <w:p w14:paraId="559ACE36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170"/>
              <w:rPr>
                <w:rFonts w:eastAsia="Calibri"/>
                <w:sz w:val="24"/>
                <w:szCs w:val="24"/>
              </w:rPr>
            </w:pPr>
            <w:r>
              <w:rPr>
                <w:b/>
                <w:szCs w:val="28"/>
              </w:rPr>
              <w:t>Подпрограмма № 1</w:t>
            </w:r>
            <w:r>
              <w:rPr>
                <w:bCs/>
                <w:szCs w:val="28"/>
              </w:rPr>
              <w:t xml:space="preserve"> «Обеспечение граждан сельских территорий жильём и закрепление молодых специалистов на селе и в сельском хозяйстве на территории Анучинского муниципального округа»</w:t>
            </w:r>
          </w:p>
        </w:tc>
        <w:tc>
          <w:tcPr>
            <w:tcW w:w="2250" w:type="dxa"/>
            <w:shd w:val="clear" w:color="auto" w:fill="auto"/>
          </w:tcPr>
          <w:p w14:paraId="2EE5DA0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65" w:type="dxa"/>
            <w:shd w:val="clear" w:color="auto" w:fill="auto"/>
          </w:tcPr>
          <w:p w14:paraId="42EA851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335" w:type="dxa"/>
            <w:shd w:val="clear" w:color="auto" w:fill="auto"/>
          </w:tcPr>
          <w:p w14:paraId="3A011D9F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912" w:type="dxa"/>
            <w:shd w:val="clear" w:color="auto" w:fill="auto"/>
          </w:tcPr>
          <w:p w14:paraId="57DA3B2C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411" w:type="dxa"/>
            <w:gridSpan w:val="2"/>
            <w:shd w:val="clear" w:color="auto" w:fill="auto"/>
          </w:tcPr>
          <w:p w14:paraId="6A1CDBB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14:paraId="563830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</w:trPr>
        <w:tc>
          <w:tcPr>
            <w:tcW w:w="618" w:type="dxa"/>
            <w:shd w:val="clear" w:color="auto" w:fill="auto"/>
          </w:tcPr>
          <w:p w14:paraId="0A35B8FB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  <w:szCs w:val="22"/>
              </w:rPr>
            </w:pPr>
            <w:r>
              <w:rPr>
                <w:rFonts w:eastAsia="Calibri"/>
                <w:sz w:val="20"/>
                <w:szCs w:val="22"/>
              </w:rPr>
              <w:t>1</w:t>
            </w:r>
            <w:r>
              <w:rPr>
                <w:rFonts w:eastAsia="Calibri"/>
                <w:szCs w:val="28"/>
              </w:rPr>
              <w:t>1.1</w:t>
            </w:r>
          </w:p>
        </w:tc>
        <w:tc>
          <w:tcPr>
            <w:tcW w:w="3315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4A062A02">
            <w:pPr>
              <w:widowControl w:val="0"/>
              <w:autoSpaceDE w:val="0"/>
              <w:autoSpaceDN w:val="0"/>
              <w:adjustRightInd w:val="0"/>
              <w:ind w:left="80" w:firstLine="720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bCs/>
                <w:szCs w:val="28"/>
              </w:rPr>
              <w:t xml:space="preserve">Обеспечение граждан сельских территорий жильём </w:t>
            </w:r>
          </w:p>
          <w:p w14:paraId="69866AB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(Предоставление субсидий в размере 1% социальной выплаты семьям, участвующим в улучшении жилищных условий на селе, включённых в сводный список по Анучинскому муниципальному округу и в список по Приморскому краю. Социальная выплата производится согласно Положению, утвержденному Постановлением Правительства РФ от 31.05.2019 № 696 «Об утверждении государственной программы РФ «Комплексное развитие сельских территорий» и о внесении изменений в некоторые акты Правительства РФ»)</w:t>
            </w:r>
          </w:p>
          <w:p w14:paraId="64B9B098">
            <w:pPr>
              <w:widowControl w:val="0"/>
              <w:autoSpaceDE w:val="0"/>
              <w:autoSpaceDN w:val="0"/>
              <w:adjustRightInd w:val="0"/>
              <w:ind w:left="80" w:firstLine="720"/>
              <w:jc w:val="both"/>
              <w:rPr>
                <w:rFonts w:eastAsia="Calibri"/>
                <w:szCs w:val="28"/>
              </w:rPr>
            </w:pPr>
          </w:p>
        </w:tc>
        <w:tc>
          <w:tcPr>
            <w:tcW w:w="2250" w:type="dxa"/>
            <w:shd w:val="clear" w:color="auto" w:fill="auto"/>
          </w:tcPr>
          <w:p w14:paraId="42B8B28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Финансово-экономическое управление администрации Анучинского муниципального округа</w:t>
            </w:r>
          </w:p>
        </w:tc>
        <w:tc>
          <w:tcPr>
            <w:tcW w:w="1365" w:type="dxa"/>
            <w:shd w:val="clear" w:color="auto" w:fill="auto"/>
          </w:tcPr>
          <w:p w14:paraId="42A6A450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   2025</w:t>
            </w:r>
          </w:p>
        </w:tc>
        <w:tc>
          <w:tcPr>
            <w:tcW w:w="1335" w:type="dxa"/>
            <w:shd w:val="clear" w:color="auto" w:fill="auto"/>
          </w:tcPr>
          <w:p w14:paraId="0DFA69C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    2029</w:t>
            </w:r>
          </w:p>
        </w:tc>
        <w:tc>
          <w:tcPr>
            <w:tcW w:w="2912" w:type="dxa"/>
            <w:shd w:val="clear" w:color="auto" w:fill="auto"/>
          </w:tcPr>
          <w:tbl>
            <w:tblPr>
              <w:tblStyle w:val="4"/>
              <w:tblW w:w="5466" w:type="dxa"/>
              <w:tblInd w:w="0" w:type="dxa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</w:tblPr>
            <w:tblGrid>
              <w:gridCol w:w="5466"/>
            </w:tblGrid>
            <w:tr w14:paraId="7F97D2E2">
              <w:tblPrEx>
                <w:tblCellMar>
                  <w:top w:w="102" w:type="dxa"/>
                  <w:left w:w="62" w:type="dxa"/>
                  <w:bottom w:w="102" w:type="dxa"/>
                  <w:right w:w="62" w:type="dxa"/>
                </w:tblCellMar>
              </w:tblPrEx>
              <w:trPr>
                <w:trHeight w:val="185" w:hRule="atLeast"/>
              </w:trPr>
              <w:tc>
                <w:tcPr>
                  <w:tcW w:w="5466" w:type="dxa"/>
                </w:tcPr>
                <w:p w14:paraId="5AB8D387">
                  <w:pPr>
                    <w:autoSpaceDE w:val="0"/>
                    <w:autoSpaceDN w:val="0"/>
                    <w:adjustRightInd w:val="0"/>
                    <w:ind w:left="80"/>
                    <w:contextualSpacing/>
                    <w:rPr>
                      <w:rFonts w:eastAsia="Calibri"/>
                      <w:szCs w:val="28"/>
                    </w:rPr>
                  </w:pPr>
                </w:p>
              </w:tc>
            </w:tr>
          </w:tbl>
          <w:p w14:paraId="7E821711">
            <w:pPr>
              <w:jc w:val="both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Увеличение количества жилья, предоставляемое гражданам сельских территорий- 10 ед.;</w:t>
            </w:r>
          </w:p>
          <w:p w14:paraId="5FBBE7D3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Cs w:val="28"/>
              </w:rPr>
            </w:pPr>
          </w:p>
        </w:tc>
        <w:tc>
          <w:tcPr>
            <w:tcW w:w="2411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46B98536">
            <w:pPr>
              <w:widowControl w:val="0"/>
              <w:autoSpaceDE w:val="0"/>
              <w:autoSpaceDN w:val="0"/>
              <w:adjustRightInd w:val="0"/>
              <w:ind w:left="80"/>
              <w:jc w:val="both"/>
              <w:rPr>
                <w:rFonts w:eastAsia="Calibri"/>
                <w:szCs w:val="28"/>
                <w:lang w:val="en-US"/>
              </w:rPr>
            </w:pPr>
            <w:r>
              <w:rPr>
                <w:bCs/>
                <w:szCs w:val="28"/>
              </w:rPr>
              <w:t>Количество</w:t>
            </w:r>
            <w:r>
              <w:rPr>
                <w:bCs/>
                <w:szCs w:val="28"/>
                <w:lang w:val="en-US"/>
              </w:rPr>
              <w:t xml:space="preserve"> приобретённого (построенного) жилья .</w:t>
            </w:r>
          </w:p>
        </w:tc>
      </w:tr>
      <w:tr w14:paraId="44FE27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</w:trPr>
        <w:tc>
          <w:tcPr>
            <w:tcW w:w="618" w:type="dxa"/>
            <w:shd w:val="clear" w:color="auto" w:fill="auto"/>
          </w:tcPr>
          <w:p w14:paraId="449FD39A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eastAsia="Calibri"/>
                <w:sz w:val="20"/>
                <w:szCs w:val="22"/>
              </w:rPr>
            </w:pPr>
            <w:r>
              <w:rPr>
                <w:rFonts w:eastAsia="Calibri"/>
                <w:sz w:val="20"/>
                <w:szCs w:val="22"/>
              </w:rPr>
              <w:t>1</w:t>
            </w:r>
            <w:r>
              <w:rPr>
                <w:rFonts w:eastAsia="Calibri"/>
                <w:szCs w:val="28"/>
              </w:rPr>
              <w:t>1.2</w:t>
            </w:r>
          </w:p>
        </w:tc>
        <w:tc>
          <w:tcPr>
            <w:tcW w:w="3315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4285984E">
            <w:pPr>
              <w:widowControl w:val="0"/>
              <w:autoSpaceDE w:val="0"/>
              <w:autoSpaceDN w:val="0"/>
              <w:adjustRightInd w:val="0"/>
              <w:ind w:left="80" w:firstLine="720"/>
              <w:jc w:val="both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Выплата подъёмных молодым специалистам</w:t>
            </w:r>
          </w:p>
        </w:tc>
        <w:tc>
          <w:tcPr>
            <w:tcW w:w="2250" w:type="dxa"/>
            <w:shd w:val="clear" w:color="auto" w:fill="auto"/>
          </w:tcPr>
          <w:p w14:paraId="1A30CE9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Cs w:val="28"/>
              </w:rPr>
            </w:pPr>
            <w:r>
              <w:rPr>
                <w:szCs w:val="28"/>
              </w:rPr>
              <w:t>ФЭУ, администрация Анучинского муниципального округ</w:t>
            </w:r>
          </w:p>
        </w:tc>
        <w:tc>
          <w:tcPr>
            <w:tcW w:w="1365" w:type="dxa"/>
            <w:shd w:val="clear" w:color="auto" w:fill="auto"/>
          </w:tcPr>
          <w:p w14:paraId="5D73348D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2025</w:t>
            </w:r>
          </w:p>
        </w:tc>
        <w:tc>
          <w:tcPr>
            <w:tcW w:w="1335" w:type="dxa"/>
            <w:shd w:val="clear" w:color="auto" w:fill="auto"/>
          </w:tcPr>
          <w:p w14:paraId="27B3E50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2029</w:t>
            </w:r>
          </w:p>
        </w:tc>
        <w:tc>
          <w:tcPr>
            <w:tcW w:w="2912" w:type="dxa"/>
            <w:shd w:val="clear" w:color="auto" w:fill="auto"/>
          </w:tcPr>
          <w:p w14:paraId="3B67302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Calibri"/>
                <w:szCs w:val="28"/>
              </w:rPr>
            </w:pPr>
            <w:r>
              <w:rPr>
                <w:szCs w:val="28"/>
              </w:rPr>
              <w:t>Закрепление квалифицированных молодых кадров на селе и в сельскохозяйственном производстве - 4 чел.</w:t>
            </w:r>
          </w:p>
        </w:tc>
        <w:tc>
          <w:tcPr>
            <w:tcW w:w="2411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00AE97B2">
            <w:pPr>
              <w:widowControl w:val="0"/>
              <w:autoSpaceDE w:val="0"/>
              <w:autoSpaceDN w:val="0"/>
              <w:adjustRightInd w:val="0"/>
              <w:ind w:left="80"/>
              <w:jc w:val="both"/>
              <w:rPr>
                <w:bCs/>
                <w:szCs w:val="28"/>
              </w:rPr>
            </w:pPr>
            <w:r>
              <w:rPr>
                <w:szCs w:val="28"/>
              </w:rPr>
              <w:t>Количество принятых молодых специалистов</w:t>
            </w:r>
          </w:p>
        </w:tc>
      </w:tr>
    </w:tbl>
    <w:p w14:paraId="066B89BE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2"/>
          <w:szCs w:val="22"/>
        </w:rPr>
      </w:pPr>
    </w:p>
    <w:p w14:paraId="668FE270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2"/>
          <w:szCs w:val="22"/>
        </w:rPr>
      </w:pPr>
    </w:p>
    <w:p w14:paraId="3207334E">
      <w:pPr>
        <w:tabs>
          <w:tab w:val="left" w:pos="1134"/>
        </w:tabs>
        <w:jc w:val="right"/>
        <w:rPr>
          <w:kern w:val="1"/>
          <w:sz w:val="24"/>
          <w:szCs w:val="24"/>
        </w:rPr>
      </w:pPr>
      <w:r>
        <w:rPr>
          <w:kern w:val="1"/>
          <w:sz w:val="24"/>
          <w:szCs w:val="24"/>
        </w:rPr>
        <w:t>Приложение № 3</w:t>
      </w:r>
    </w:p>
    <w:p w14:paraId="5947F740">
      <w:pPr>
        <w:widowControl w:val="0"/>
        <w:wordWrap w:val="0"/>
        <w:autoSpaceDE w:val="0"/>
        <w:autoSpaceDN w:val="0"/>
        <w:adjustRightInd w:val="0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муниципальной программе «Комплексное развитие сельских территорий </w:t>
      </w:r>
    </w:p>
    <w:p w14:paraId="38E529C4">
      <w:pPr>
        <w:widowControl w:val="0"/>
        <w:wordWrap w:val="0"/>
        <w:autoSpaceDE w:val="0"/>
        <w:autoSpaceDN w:val="0"/>
        <w:adjustRightInd w:val="0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>Анучинского муниципального округа» на 2025-2029 годы,</w:t>
      </w:r>
    </w:p>
    <w:p w14:paraId="4A802409">
      <w:pPr>
        <w:widowControl w:val="0"/>
        <w:wordWrap w:val="0"/>
        <w:autoSpaceDE w:val="0"/>
        <w:autoSpaceDN w:val="0"/>
        <w:adjustRightInd w:val="0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утверждённой, постановлением администрации </w:t>
      </w:r>
    </w:p>
    <w:p w14:paraId="30F35353">
      <w:pPr>
        <w:widowControl w:val="0"/>
        <w:wordWrap w:val="0"/>
        <w:autoSpaceDE w:val="0"/>
        <w:autoSpaceDN w:val="0"/>
        <w:adjustRightInd w:val="0"/>
        <w:spacing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Анучинского муниципального округа Приморского края </w:t>
      </w:r>
    </w:p>
    <w:p w14:paraId="01D059C5">
      <w:pPr>
        <w:widowControl w:val="0"/>
        <w:wordWrap w:val="0"/>
        <w:autoSpaceDE w:val="0"/>
        <w:autoSpaceDN w:val="0"/>
        <w:adjustRightInd w:val="0"/>
        <w:spacing w:line="276" w:lineRule="auto"/>
        <w:jc w:val="right"/>
        <w:rPr>
          <w:szCs w:val="28"/>
          <w:u w:val="single"/>
        </w:rPr>
      </w:pPr>
      <w:bookmarkStart w:id="1" w:name="_Hlk124427003"/>
      <w:r>
        <w:rPr>
          <w:sz w:val="24"/>
          <w:szCs w:val="24"/>
          <w:u w:val="single"/>
        </w:rPr>
        <w:t>от 22.05.2024 № 449</w:t>
      </w:r>
    </w:p>
    <w:p w14:paraId="31107A0A">
      <w:pPr>
        <w:widowControl w:val="0"/>
        <w:tabs>
          <w:tab w:val="left" w:pos="1134"/>
        </w:tabs>
        <w:autoSpaceDE w:val="0"/>
        <w:autoSpaceDN w:val="0"/>
        <w:adjustRightInd w:val="0"/>
        <w:ind w:firstLine="720"/>
        <w:jc w:val="center"/>
        <w:rPr>
          <w:sz w:val="24"/>
          <w:szCs w:val="24"/>
        </w:rPr>
      </w:pPr>
      <w:r>
        <w:rPr>
          <w:sz w:val="24"/>
          <w:szCs w:val="24"/>
        </w:rPr>
        <w:t>Информация</w:t>
      </w:r>
    </w:p>
    <w:p w14:paraId="60269033">
      <w:pPr>
        <w:widowControl w:val="0"/>
        <w:tabs>
          <w:tab w:val="left" w:pos="1134"/>
        </w:tabs>
        <w:autoSpaceDE w:val="0"/>
        <w:autoSpaceDN w:val="0"/>
        <w:adjustRightInd w:val="0"/>
        <w:ind w:firstLine="72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о ресурсном обеспечении муниципальной программы за счет средств бюджета </w:t>
      </w:r>
    </w:p>
    <w:p w14:paraId="4276D8B5">
      <w:pPr>
        <w:widowControl w:val="0"/>
        <w:tabs>
          <w:tab w:val="left" w:pos="1134"/>
        </w:tabs>
        <w:autoSpaceDE w:val="0"/>
        <w:autoSpaceDN w:val="0"/>
        <w:adjustRightInd w:val="0"/>
        <w:ind w:firstLine="72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Анучинского муниципального округа и прогнозная оценка привлекаемых на реализацию </w:t>
      </w:r>
    </w:p>
    <w:p w14:paraId="64646BF9">
      <w:pPr>
        <w:widowControl w:val="0"/>
        <w:tabs>
          <w:tab w:val="left" w:pos="1134"/>
        </w:tabs>
        <w:autoSpaceDE w:val="0"/>
        <w:autoSpaceDN w:val="0"/>
        <w:adjustRightInd w:val="0"/>
        <w:ind w:firstLine="72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ее целей средств федерального бюджета, краевого бюджета </w:t>
      </w:r>
    </w:p>
    <w:p w14:paraId="7B8F0F96">
      <w:pPr>
        <w:tabs>
          <w:tab w:val="left" w:pos="1134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«Комплексное развитие сельских территорий» на территории </w:t>
      </w:r>
    </w:p>
    <w:p w14:paraId="3A55EF6B">
      <w:pPr>
        <w:tabs>
          <w:tab w:val="left" w:pos="1134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Анучинского муниципального округа» на 2025 – 2029годы</w:t>
      </w:r>
    </w:p>
    <w:bookmarkEnd w:id="1"/>
    <w:p w14:paraId="0DCEB484">
      <w:pPr>
        <w:widowControl w:val="0"/>
        <w:tabs>
          <w:tab w:val="left" w:pos="1134"/>
        </w:tabs>
        <w:autoSpaceDE w:val="0"/>
        <w:autoSpaceDN w:val="0"/>
        <w:adjustRightInd w:val="0"/>
        <w:ind w:firstLine="72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(наименование муниципальной программы)</w:t>
      </w:r>
    </w:p>
    <w:tbl>
      <w:tblPr>
        <w:tblStyle w:val="4"/>
        <w:tblW w:w="15309" w:type="dxa"/>
        <w:tblInd w:w="-13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87"/>
        <w:gridCol w:w="2742"/>
        <w:gridCol w:w="2111"/>
        <w:gridCol w:w="1550"/>
        <w:gridCol w:w="973"/>
        <w:gridCol w:w="851"/>
        <w:gridCol w:w="992"/>
        <w:gridCol w:w="709"/>
        <w:gridCol w:w="993"/>
        <w:gridCol w:w="850"/>
        <w:gridCol w:w="993"/>
        <w:gridCol w:w="992"/>
        <w:gridCol w:w="16"/>
        <w:gridCol w:w="834"/>
        <w:gridCol w:w="7"/>
        <w:gridCol w:w="9"/>
      </w:tblGrid>
      <w:tr w14:paraId="15FD70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1"/>
          <w:wAfter w:w="9" w:type="dxa"/>
          <w:trHeight w:val="333" w:hRule="atLeast"/>
        </w:trPr>
        <w:tc>
          <w:tcPr>
            <w:tcW w:w="687" w:type="dxa"/>
            <w:vMerge w:val="restart"/>
          </w:tcPr>
          <w:p w14:paraId="4DEFDADC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 п/п</w:t>
            </w:r>
          </w:p>
        </w:tc>
        <w:tc>
          <w:tcPr>
            <w:tcW w:w="2742" w:type="dxa"/>
            <w:vMerge w:val="restart"/>
          </w:tcPr>
          <w:p w14:paraId="05ABF887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111" w:type="dxa"/>
            <w:vMerge w:val="restart"/>
          </w:tcPr>
          <w:p w14:paraId="3169F4E9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Ответственный исполнитель, соисполнитель/ГРБС </w:t>
            </w:r>
            <w:r>
              <w:fldChar w:fldCharType="begin"/>
            </w:r>
            <w:r>
              <w:instrText xml:space="preserve"> HYPERLINK \l "P885" </w:instrText>
            </w:r>
            <w:r>
              <w:fldChar w:fldCharType="separate"/>
            </w:r>
            <w:r>
              <w:rPr>
                <w:color w:val="0000FF"/>
                <w:sz w:val="24"/>
                <w:szCs w:val="24"/>
              </w:rPr>
              <w:t>&lt;*&gt;</w:t>
            </w:r>
            <w:r>
              <w:rPr>
                <w:color w:val="0000FF"/>
                <w:sz w:val="24"/>
                <w:szCs w:val="24"/>
              </w:rPr>
              <w:fldChar w:fldCharType="end"/>
            </w:r>
            <w:r>
              <w:rPr>
                <w:sz w:val="24"/>
                <w:szCs w:val="24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550" w:type="dxa"/>
            <w:vMerge w:val="restart"/>
          </w:tcPr>
          <w:p w14:paraId="48E56C61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Источник ресурсного обеспечения</w:t>
            </w:r>
          </w:p>
        </w:tc>
        <w:tc>
          <w:tcPr>
            <w:tcW w:w="3525" w:type="dxa"/>
            <w:gridSpan w:val="4"/>
          </w:tcPr>
          <w:p w14:paraId="247BA7FF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4685" w:type="dxa"/>
            <w:gridSpan w:val="7"/>
            <w:shd w:val="clear" w:color="auto" w:fill="auto"/>
          </w:tcPr>
          <w:p w14:paraId="36E8A48C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Оценка расходов</w:t>
            </w:r>
          </w:p>
        </w:tc>
      </w:tr>
      <w:tr w14:paraId="7A54AF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2"/>
          <w:wAfter w:w="16" w:type="dxa"/>
          <w:trHeight w:val="1747" w:hRule="atLeast"/>
        </w:trPr>
        <w:tc>
          <w:tcPr>
            <w:tcW w:w="687" w:type="dxa"/>
            <w:vMerge w:val="continue"/>
          </w:tcPr>
          <w:p w14:paraId="36D43F1F">
            <w:pPr>
              <w:tabs>
                <w:tab w:val="left" w:pos="1134"/>
              </w:tabs>
              <w:rPr>
                <w:sz w:val="24"/>
                <w:szCs w:val="24"/>
              </w:rPr>
            </w:pPr>
          </w:p>
        </w:tc>
        <w:tc>
          <w:tcPr>
            <w:tcW w:w="2742" w:type="dxa"/>
            <w:vMerge w:val="continue"/>
          </w:tcPr>
          <w:p w14:paraId="078656F1">
            <w:pPr>
              <w:tabs>
                <w:tab w:val="left" w:pos="1134"/>
              </w:tabs>
              <w:rPr>
                <w:sz w:val="24"/>
                <w:szCs w:val="24"/>
              </w:rPr>
            </w:pPr>
          </w:p>
        </w:tc>
        <w:tc>
          <w:tcPr>
            <w:tcW w:w="2111" w:type="dxa"/>
            <w:vMerge w:val="continue"/>
          </w:tcPr>
          <w:p w14:paraId="47C20463">
            <w:pPr>
              <w:tabs>
                <w:tab w:val="left" w:pos="1134"/>
              </w:tabs>
              <w:rPr>
                <w:sz w:val="24"/>
                <w:szCs w:val="24"/>
              </w:rPr>
            </w:pPr>
          </w:p>
        </w:tc>
        <w:tc>
          <w:tcPr>
            <w:tcW w:w="1550" w:type="dxa"/>
            <w:vMerge w:val="continue"/>
          </w:tcPr>
          <w:p w14:paraId="792F2393">
            <w:pPr>
              <w:tabs>
                <w:tab w:val="left" w:pos="1134"/>
              </w:tabs>
              <w:rPr>
                <w:sz w:val="24"/>
                <w:szCs w:val="24"/>
              </w:rPr>
            </w:pPr>
          </w:p>
        </w:tc>
        <w:tc>
          <w:tcPr>
            <w:tcW w:w="973" w:type="dxa"/>
          </w:tcPr>
          <w:p w14:paraId="2074C7E6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ГРБС</w:t>
            </w:r>
          </w:p>
        </w:tc>
        <w:tc>
          <w:tcPr>
            <w:tcW w:w="851" w:type="dxa"/>
          </w:tcPr>
          <w:p w14:paraId="3B258205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Рз Пр</w:t>
            </w:r>
          </w:p>
        </w:tc>
        <w:tc>
          <w:tcPr>
            <w:tcW w:w="992" w:type="dxa"/>
          </w:tcPr>
          <w:p w14:paraId="28F9CDE3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ЦСР</w:t>
            </w:r>
          </w:p>
        </w:tc>
        <w:tc>
          <w:tcPr>
            <w:tcW w:w="709" w:type="dxa"/>
          </w:tcPr>
          <w:p w14:paraId="125C4FAA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</w:t>
            </w:r>
          </w:p>
        </w:tc>
        <w:tc>
          <w:tcPr>
            <w:tcW w:w="993" w:type="dxa"/>
            <w:shd w:val="clear" w:color="auto" w:fill="auto"/>
          </w:tcPr>
          <w:p w14:paraId="7A68EA3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14:paraId="25ED7E45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993" w:type="dxa"/>
            <w:shd w:val="clear" w:color="auto" w:fill="auto"/>
          </w:tcPr>
          <w:p w14:paraId="2311EB85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</w:p>
        </w:tc>
        <w:tc>
          <w:tcPr>
            <w:tcW w:w="992" w:type="dxa"/>
            <w:shd w:val="clear" w:color="auto" w:fill="auto"/>
          </w:tcPr>
          <w:p w14:paraId="0185079D">
            <w:pPr>
              <w:tabs>
                <w:tab w:val="left" w:pos="113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  <w:tc>
          <w:tcPr>
            <w:tcW w:w="850" w:type="dxa"/>
            <w:gridSpan w:val="2"/>
          </w:tcPr>
          <w:p w14:paraId="6781D1A6">
            <w:pPr>
              <w:tabs>
                <w:tab w:val="left" w:pos="113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2029</w:t>
            </w:r>
          </w:p>
        </w:tc>
      </w:tr>
      <w:tr w14:paraId="1EF565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2"/>
          <w:wAfter w:w="16" w:type="dxa"/>
          <w:trHeight w:val="476" w:hRule="atLeast"/>
        </w:trPr>
        <w:tc>
          <w:tcPr>
            <w:tcW w:w="687" w:type="dxa"/>
          </w:tcPr>
          <w:p w14:paraId="1DD6657C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742" w:type="dxa"/>
          </w:tcPr>
          <w:p w14:paraId="44FFFC38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111" w:type="dxa"/>
          </w:tcPr>
          <w:p w14:paraId="2B7BD6B3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0" w:type="dxa"/>
          </w:tcPr>
          <w:p w14:paraId="48E84926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73" w:type="dxa"/>
          </w:tcPr>
          <w:p w14:paraId="124B1285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14:paraId="65123861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14:paraId="0709C6B2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14:paraId="1D184BE5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93" w:type="dxa"/>
            <w:shd w:val="clear" w:color="auto" w:fill="auto"/>
          </w:tcPr>
          <w:p w14:paraId="482450A1">
            <w:pPr>
              <w:tabs>
                <w:tab w:val="left" w:pos="113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850" w:type="dxa"/>
            <w:shd w:val="clear" w:color="auto" w:fill="auto"/>
          </w:tcPr>
          <w:p w14:paraId="3436126C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shd w:val="clear" w:color="auto" w:fill="auto"/>
          </w:tcPr>
          <w:p w14:paraId="196D7C39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shd w:val="clear" w:color="auto" w:fill="auto"/>
          </w:tcPr>
          <w:p w14:paraId="18435905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0" w:type="dxa"/>
            <w:gridSpan w:val="2"/>
          </w:tcPr>
          <w:p w14:paraId="6ABAE523">
            <w:pPr>
              <w:tabs>
                <w:tab w:val="left" w:pos="1134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 w14:paraId="47F983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trHeight w:val="237" w:hRule="atLeast"/>
        </w:trPr>
        <w:tc>
          <w:tcPr>
            <w:tcW w:w="687" w:type="dxa"/>
          </w:tcPr>
          <w:p w14:paraId="47356EA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</w:p>
        </w:tc>
        <w:tc>
          <w:tcPr>
            <w:tcW w:w="13772" w:type="dxa"/>
            <w:gridSpan w:val="12"/>
          </w:tcPr>
          <w:p w14:paraId="67E35B21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Подпрограмма № 1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«Обеспечение граждан сельских территорий жильём и закрепление молодых специалистов на селе и в сельском хозяйстве на территории Анучинского муниципального округа»</w:t>
            </w:r>
          </w:p>
          <w:p w14:paraId="182BE5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3"/>
          </w:tcPr>
          <w:p w14:paraId="6723156A">
            <w:pPr>
              <w:rPr>
                <w:b/>
                <w:sz w:val="24"/>
                <w:szCs w:val="24"/>
              </w:rPr>
            </w:pPr>
          </w:p>
        </w:tc>
      </w:tr>
      <w:tr w14:paraId="0171F2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2"/>
          <w:wAfter w:w="16" w:type="dxa"/>
          <w:trHeight w:val="362" w:hRule="atLeast"/>
        </w:trPr>
        <w:tc>
          <w:tcPr>
            <w:tcW w:w="687" w:type="dxa"/>
            <w:vMerge w:val="restart"/>
          </w:tcPr>
          <w:p w14:paraId="4A24CFF4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11.1.</w:t>
            </w:r>
          </w:p>
        </w:tc>
        <w:tc>
          <w:tcPr>
            <w:tcW w:w="2742" w:type="dxa"/>
            <w:vMerge w:val="restart"/>
          </w:tcPr>
          <w:p w14:paraId="014A9BC3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Обеспечение граждан сельских территорий жильём</w:t>
            </w:r>
            <w:r>
              <w:rPr>
                <w:sz w:val="24"/>
                <w:szCs w:val="24"/>
              </w:rPr>
              <w:t xml:space="preserve"> (предоставление субсидий в размере 1 % софинансирования социальных выплат) </w:t>
            </w:r>
          </w:p>
        </w:tc>
        <w:tc>
          <w:tcPr>
            <w:tcW w:w="2111" w:type="dxa"/>
            <w:vMerge w:val="restart"/>
          </w:tcPr>
          <w:p w14:paraId="26462C5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Финансово-экономическое управление администрации Анучинского муниципального округа</w:t>
            </w:r>
          </w:p>
        </w:tc>
        <w:tc>
          <w:tcPr>
            <w:tcW w:w="1550" w:type="dxa"/>
          </w:tcPr>
          <w:p w14:paraId="6D1F7DF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973" w:type="dxa"/>
          </w:tcPr>
          <w:p w14:paraId="6C303DD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11C13FE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3DBCDF20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11C8AB8A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5A6989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78</w:t>
            </w:r>
            <w:r>
              <w:rPr>
                <w:sz w:val="24"/>
                <w:szCs w:val="24"/>
              </w:rPr>
              <w:t>,4</w:t>
            </w:r>
          </w:p>
        </w:tc>
        <w:tc>
          <w:tcPr>
            <w:tcW w:w="850" w:type="dxa"/>
            <w:shd w:val="clear" w:color="auto" w:fill="auto"/>
          </w:tcPr>
          <w:p w14:paraId="1DD0A2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78</w:t>
            </w:r>
            <w:r>
              <w:rPr>
                <w:sz w:val="24"/>
                <w:szCs w:val="24"/>
              </w:rPr>
              <w:t>,4</w:t>
            </w:r>
          </w:p>
        </w:tc>
        <w:tc>
          <w:tcPr>
            <w:tcW w:w="993" w:type="dxa"/>
            <w:shd w:val="clear" w:color="auto" w:fill="auto"/>
          </w:tcPr>
          <w:p w14:paraId="6803563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78</w:t>
            </w:r>
            <w:r>
              <w:rPr>
                <w:sz w:val="24"/>
                <w:szCs w:val="24"/>
              </w:rPr>
              <w:t>,4</w:t>
            </w:r>
          </w:p>
        </w:tc>
        <w:tc>
          <w:tcPr>
            <w:tcW w:w="992" w:type="dxa"/>
            <w:shd w:val="clear" w:color="auto" w:fill="auto"/>
          </w:tcPr>
          <w:p w14:paraId="631036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78</w:t>
            </w:r>
            <w:r>
              <w:rPr>
                <w:sz w:val="24"/>
                <w:szCs w:val="24"/>
              </w:rPr>
              <w:t>,4</w:t>
            </w:r>
          </w:p>
        </w:tc>
        <w:tc>
          <w:tcPr>
            <w:tcW w:w="850" w:type="dxa"/>
            <w:gridSpan w:val="2"/>
          </w:tcPr>
          <w:p w14:paraId="001A06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78</w:t>
            </w:r>
            <w:r>
              <w:rPr>
                <w:sz w:val="24"/>
                <w:szCs w:val="24"/>
              </w:rPr>
              <w:t>,4</w:t>
            </w:r>
          </w:p>
        </w:tc>
      </w:tr>
      <w:tr w14:paraId="1220A7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2"/>
          <w:wAfter w:w="16" w:type="dxa"/>
          <w:trHeight w:val="11" w:hRule="atLeast"/>
        </w:trPr>
        <w:tc>
          <w:tcPr>
            <w:tcW w:w="687" w:type="dxa"/>
            <w:vMerge w:val="continue"/>
          </w:tcPr>
          <w:p w14:paraId="0B656A05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 w:val="continue"/>
          </w:tcPr>
          <w:p w14:paraId="4CA0FB59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 w:val="continue"/>
          </w:tcPr>
          <w:p w14:paraId="56D766F6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2095DF3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</w:t>
            </w:r>
          </w:p>
        </w:tc>
        <w:tc>
          <w:tcPr>
            <w:tcW w:w="973" w:type="dxa"/>
          </w:tcPr>
          <w:p w14:paraId="30A0C70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23010C8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7A4B33FE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32168F03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267923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105D8F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7060ED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51919F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5A8DEF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14:paraId="3941A3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2"/>
          <w:wAfter w:w="16" w:type="dxa"/>
          <w:trHeight w:val="408" w:hRule="atLeast"/>
        </w:trPr>
        <w:tc>
          <w:tcPr>
            <w:tcW w:w="687" w:type="dxa"/>
            <w:vMerge w:val="continue"/>
          </w:tcPr>
          <w:p w14:paraId="09C76C6A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 w:val="continue"/>
          </w:tcPr>
          <w:p w14:paraId="4296E2D8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 w:val="continue"/>
          </w:tcPr>
          <w:p w14:paraId="3189451F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7A2D892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</w:t>
            </w:r>
          </w:p>
        </w:tc>
        <w:tc>
          <w:tcPr>
            <w:tcW w:w="973" w:type="dxa"/>
          </w:tcPr>
          <w:p w14:paraId="3FF2B325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5CCF6B8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C5D1920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3A999680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312F76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04F443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29D976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16A799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36C186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14:paraId="680C15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2"/>
          <w:wAfter w:w="16" w:type="dxa"/>
          <w:trHeight w:val="1048" w:hRule="atLeast"/>
        </w:trPr>
        <w:tc>
          <w:tcPr>
            <w:tcW w:w="687" w:type="dxa"/>
            <w:vMerge w:val="continue"/>
          </w:tcPr>
          <w:p w14:paraId="2632F714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 w:val="continue"/>
          </w:tcPr>
          <w:p w14:paraId="0C3D924F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 w:val="continue"/>
          </w:tcPr>
          <w:p w14:paraId="3122A496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1910D7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Анучинского муниципального округа</w:t>
            </w:r>
          </w:p>
        </w:tc>
        <w:tc>
          <w:tcPr>
            <w:tcW w:w="973" w:type="dxa"/>
          </w:tcPr>
          <w:p w14:paraId="362FB343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5EFCE4E2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26E5A03F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52416B2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32B972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78</w:t>
            </w:r>
            <w:r>
              <w:rPr>
                <w:sz w:val="24"/>
                <w:szCs w:val="24"/>
              </w:rPr>
              <w:t>,4</w:t>
            </w:r>
          </w:p>
        </w:tc>
        <w:tc>
          <w:tcPr>
            <w:tcW w:w="850" w:type="dxa"/>
          </w:tcPr>
          <w:p w14:paraId="0F6926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78</w:t>
            </w:r>
            <w:r>
              <w:rPr>
                <w:sz w:val="24"/>
                <w:szCs w:val="24"/>
              </w:rPr>
              <w:t>,4</w:t>
            </w:r>
          </w:p>
        </w:tc>
        <w:tc>
          <w:tcPr>
            <w:tcW w:w="993" w:type="dxa"/>
            <w:shd w:val="clear" w:color="auto" w:fill="auto"/>
          </w:tcPr>
          <w:p w14:paraId="4FED82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78</w:t>
            </w:r>
            <w:r>
              <w:rPr>
                <w:sz w:val="24"/>
                <w:szCs w:val="24"/>
              </w:rPr>
              <w:t>,4</w:t>
            </w:r>
          </w:p>
        </w:tc>
        <w:tc>
          <w:tcPr>
            <w:tcW w:w="992" w:type="dxa"/>
            <w:shd w:val="clear" w:color="auto" w:fill="auto"/>
          </w:tcPr>
          <w:p w14:paraId="65B252C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78</w:t>
            </w:r>
            <w:r>
              <w:rPr>
                <w:sz w:val="24"/>
                <w:szCs w:val="24"/>
              </w:rPr>
              <w:t>,4</w:t>
            </w:r>
          </w:p>
        </w:tc>
        <w:tc>
          <w:tcPr>
            <w:tcW w:w="850" w:type="dxa"/>
            <w:gridSpan w:val="2"/>
          </w:tcPr>
          <w:p w14:paraId="051DEC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78</w:t>
            </w:r>
            <w:r>
              <w:rPr>
                <w:sz w:val="24"/>
                <w:szCs w:val="24"/>
              </w:rPr>
              <w:t>,4</w:t>
            </w:r>
          </w:p>
        </w:tc>
      </w:tr>
      <w:tr w14:paraId="61C01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2"/>
          <w:wAfter w:w="16" w:type="dxa"/>
          <w:trHeight w:val="564" w:hRule="atLeast"/>
        </w:trPr>
        <w:tc>
          <w:tcPr>
            <w:tcW w:w="687" w:type="dxa"/>
            <w:vMerge w:val="restart"/>
          </w:tcPr>
          <w:p w14:paraId="329B62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</w:t>
            </w:r>
          </w:p>
        </w:tc>
        <w:tc>
          <w:tcPr>
            <w:tcW w:w="2742" w:type="dxa"/>
            <w:vMerge w:val="restart"/>
          </w:tcPr>
          <w:p w14:paraId="0E1336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Подъёмные молодым специалистам</w:t>
            </w:r>
          </w:p>
        </w:tc>
        <w:tc>
          <w:tcPr>
            <w:tcW w:w="2111" w:type="dxa"/>
            <w:vMerge w:val="restart"/>
          </w:tcPr>
          <w:p w14:paraId="1212AC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Финансово-экономическое управление администрации Анучинского муниципального округа</w:t>
            </w:r>
          </w:p>
        </w:tc>
        <w:tc>
          <w:tcPr>
            <w:tcW w:w="1550" w:type="dxa"/>
          </w:tcPr>
          <w:p w14:paraId="716AB52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973" w:type="dxa"/>
          </w:tcPr>
          <w:p w14:paraId="25B4D624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2587DA74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67D4508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57225AAE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5BFDA6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850" w:type="dxa"/>
          </w:tcPr>
          <w:p w14:paraId="2CF959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993" w:type="dxa"/>
            <w:shd w:val="clear" w:color="auto" w:fill="auto"/>
          </w:tcPr>
          <w:p w14:paraId="74F775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992" w:type="dxa"/>
            <w:shd w:val="clear" w:color="auto" w:fill="auto"/>
          </w:tcPr>
          <w:p w14:paraId="546764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850" w:type="dxa"/>
            <w:gridSpan w:val="2"/>
          </w:tcPr>
          <w:p w14:paraId="1D79B9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</w:tr>
      <w:tr w14:paraId="357559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2"/>
          <w:wAfter w:w="16" w:type="dxa"/>
          <w:trHeight w:val="519" w:hRule="atLeast"/>
        </w:trPr>
        <w:tc>
          <w:tcPr>
            <w:tcW w:w="687" w:type="dxa"/>
            <w:vMerge w:val="continue"/>
          </w:tcPr>
          <w:p w14:paraId="205C5AA0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 w:val="continue"/>
          </w:tcPr>
          <w:p w14:paraId="120D799B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 w:val="continue"/>
          </w:tcPr>
          <w:p w14:paraId="29FEDBBE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3140D6D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федеральный</w:t>
            </w:r>
          </w:p>
        </w:tc>
        <w:tc>
          <w:tcPr>
            <w:tcW w:w="973" w:type="dxa"/>
          </w:tcPr>
          <w:p w14:paraId="1F7F1FF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6AFA3E77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D3B3F1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04F0F3F6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2ACBCF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67D9BA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26C1EC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78892B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4156AE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14:paraId="030F4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2"/>
          <w:wAfter w:w="16" w:type="dxa"/>
          <w:trHeight w:val="445" w:hRule="atLeast"/>
        </w:trPr>
        <w:tc>
          <w:tcPr>
            <w:tcW w:w="687" w:type="dxa"/>
            <w:vMerge w:val="continue"/>
          </w:tcPr>
          <w:p w14:paraId="72004A93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 w:val="continue"/>
          </w:tcPr>
          <w:p w14:paraId="1039DBF9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 w:val="continue"/>
          </w:tcPr>
          <w:p w14:paraId="16B88898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405CFE5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</w:t>
            </w:r>
          </w:p>
        </w:tc>
        <w:tc>
          <w:tcPr>
            <w:tcW w:w="973" w:type="dxa"/>
          </w:tcPr>
          <w:p w14:paraId="4A96489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026C964A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ACE53E6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78756F2D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4C37134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</w:tcPr>
          <w:p w14:paraId="77EB3D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14:paraId="1692B0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1495C3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gridSpan w:val="2"/>
          </w:tcPr>
          <w:p w14:paraId="508B17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14:paraId="108086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After w:val="2"/>
          <w:wAfter w:w="16" w:type="dxa"/>
          <w:trHeight w:val="916" w:hRule="atLeast"/>
        </w:trPr>
        <w:tc>
          <w:tcPr>
            <w:tcW w:w="687" w:type="dxa"/>
            <w:vMerge w:val="continue"/>
          </w:tcPr>
          <w:p w14:paraId="7BF9B8C8">
            <w:pPr>
              <w:rPr>
                <w:sz w:val="24"/>
                <w:szCs w:val="24"/>
              </w:rPr>
            </w:pPr>
          </w:p>
        </w:tc>
        <w:tc>
          <w:tcPr>
            <w:tcW w:w="2742" w:type="dxa"/>
            <w:vMerge w:val="continue"/>
          </w:tcPr>
          <w:p w14:paraId="3632D941">
            <w:pPr>
              <w:rPr>
                <w:sz w:val="24"/>
                <w:szCs w:val="24"/>
              </w:rPr>
            </w:pPr>
          </w:p>
        </w:tc>
        <w:tc>
          <w:tcPr>
            <w:tcW w:w="2111" w:type="dxa"/>
            <w:vMerge w:val="continue"/>
          </w:tcPr>
          <w:p w14:paraId="57C5621C">
            <w:pPr>
              <w:rPr>
                <w:sz w:val="24"/>
                <w:szCs w:val="24"/>
              </w:rPr>
            </w:pPr>
          </w:p>
        </w:tc>
        <w:tc>
          <w:tcPr>
            <w:tcW w:w="1550" w:type="dxa"/>
          </w:tcPr>
          <w:p w14:paraId="4A51C1A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Анучинского МО</w:t>
            </w:r>
          </w:p>
        </w:tc>
        <w:tc>
          <w:tcPr>
            <w:tcW w:w="973" w:type="dxa"/>
          </w:tcPr>
          <w:p w14:paraId="3D7F430A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14:paraId="563BBDE2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4CF06C7B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3E7E7B4F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14:paraId="154D4A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850" w:type="dxa"/>
          </w:tcPr>
          <w:p w14:paraId="5126A7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993" w:type="dxa"/>
            <w:shd w:val="clear" w:color="auto" w:fill="auto"/>
          </w:tcPr>
          <w:p w14:paraId="52F5F9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14:paraId="4168EF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850" w:type="dxa"/>
            <w:gridSpan w:val="2"/>
          </w:tcPr>
          <w:p w14:paraId="71C0E7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</w:tr>
    </w:tbl>
    <w:p w14:paraId="6B690443">
      <w:pPr>
        <w:widowControl w:val="0"/>
        <w:autoSpaceDE w:val="0"/>
        <w:autoSpaceDN w:val="0"/>
        <w:adjustRightInd w:val="0"/>
        <w:spacing w:before="220"/>
        <w:ind w:firstLine="540"/>
        <w:jc w:val="both"/>
        <w:rPr>
          <w:sz w:val="24"/>
          <w:szCs w:val="24"/>
        </w:rPr>
      </w:pPr>
      <w:bookmarkStart w:id="2" w:name="P885"/>
      <w:bookmarkEnd w:id="2"/>
      <w:r>
        <w:rPr>
          <w:sz w:val="24"/>
          <w:szCs w:val="24"/>
        </w:rPr>
        <w:t>&lt;*&gt; - главный распорядитель бюджетных средств.</w:t>
      </w:r>
    </w:p>
    <w:p w14:paraId="36D55E54">
      <w:pPr>
        <w:widowControl w:val="0"/>
        <w:autoSpaceDE w:val="0"/>
        <w:autoSpaceDN w:val="0"/>
        <w:adjustRightInd w:val="0"/>
        <w:spacing w:before="220"/>
        <w:ind w:firstLine="540"/>
        <w:jc w:val="both"/>
        <w:rPr>
          <w:sz w:val="24"/>
          <w:szCs w:val="24"/>
        </w:rPr>
      </w:pPr>
    </w:p>
    <w:p w14:paraId="32907AC8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6BC32252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3808918F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3BC4F8D6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Cs w:val="28"/>
        </w:rPr>
      </w:pPr>
    </w:p>
    <w:p w14:paraId="0E8AF413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03C23793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 w:val="24"/>
          <w:szCs w:val="24"/>
        </w:rPr>
      </w:pPr>
    </w:p>
    <w:p w14:paraId="4CDABE7F">
      <w:pPr>
        <w:widowControl w:val="0"/>
        <w:autoSpaceDE w:val="0"/>
        <w:autoSpaceDN w:val="0"/>
        <w:adjustRightInd w:val="0"/>
        <w:ind w:firstLine="720"/>
        <w:jc w:val="right"/>
        <w:outlineLvl w:val="1"/>
        <w:rPr>
          <w:szCs w:val="28"/>
        </w:rPr>
      </w:pPr>
    </w:p>
    <w:p w14:paraId="7ECADB89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14:paraId="475508F6">
      <w:pPr>
        <w:widowControl w:val="0"/>
        <w:autoSpaceDE w:val="0"/>
        <w:autoSpaceDN w:val="0"/>
        <w:adjustRightInd w:val="0"/>
        <w:spacing w:before="220"/>
        <w:ind w:firstLine="540"/>
        <w:jc w:val="both"/>
        <w:rPr>
          <w:sz w:val="24"/>
          <w:szCs w:val="24"/>
        </w:rPr>
      </w:pPr>
    </w:p>
    <w:p w14:paraId="24459851">
      <w:pPr>
        <w:widowControl w:val="0"/>
        <w:autoSpaceDE w:val="0"/>
        <w:autoSpaceDN w:val="0"/>
        <w:adjustRightInd w:val="0"/>
        <w:spacing w:before="220"/>
        <w:ind w:firstLine="540"/>
        <w:rPr>
          <w:sz w:val="24"/>
          <w:szCs w:val="24"/>
        </w:rPr>
      </w:pPr>
    </w:p>
    <w:p w14:paraId="752CECFA">
      <w:pPr>
        <w:widowControl w:val="0"/>
        <w:autoSpaceDE w:val="0"/>
        <w:autoSpaceDN w:val="0"/>
        <w:adjustRightInd w:val="0"/>
        <w:spacing w:before="220"/>
        <w:ind w:firstLine="540"/>
        <w:rPr>
          <w:sz w:val="24"/>
          <w:szCs w:val="24"/>
        </w:rPr>
        <w:sectPr>
          <w:pgSz w:w="16838" w:h="11905" w:orient="landscape"/>
          <w:pgMar w:top="1134" w:right="850" w:bottom="1134" w:left="1134" w:header="709" w:footer="709" w:gutter="0"/>
          <w:cols w:space="708" w:num="1"/>
          <w:docGrid w:linePitch="360" w:charSpace="0"/>
        </w:sectPr>
      </w:pPr>
    </w:p>
    <w:p w14:paraId="578C3605">
      <w:pPr>
        <w:jc w:val="center"/>
        <w:rPr>
          <w:b/>
          <w:szCs w:val="28"/>
        </w:rPr>
      </w:pPr>
      <w:r>
        <w:rPr>
          <w:b/>
          <w:szCs w:val="28"/>
        </w:rPr>
        <w:t xml:space="preserve">Подпрограмма № 1 </w:t>
      </w:r>
    </w:p>
    <w:p w14:paraId="390139C1">
      <w:pPr>
        <w:jc w:val="center"/>
        <w:rPr>
          <w:b/>
          <w:szCs w:val="28"/>
        </w:rPr>
      </w:pPr>
      <w:r>
        <w:rPr>
          <w:b/>
          <w:szCs w:val="28"/>
        </w:rPr>
        <w:t>«Обеспечение граждан сельских территорий жильём</w:t>
      </w:r>
    </w:p>
    <w:p w14:paraId="7F117614">
      <w:pPr>
        <w:jc w:val="center"/>
        <w:rPr>
          <w:b/>
          <w:szCs w:val="28"/>
        </w:rPr>
      </w:pPr>
      <w:r>
        <w:rPr>
          <w:bCs/>
          <w:szCs w:val="28"/>
        </w:rPr>
        <w:t>и закрепление молодых специалистов на селе и в сельском хозяйстве на территории Анучинского муниципального округа»</w:t>
      </w:r>
    </w:p>
    <w:p w14:paraId="5BEBDCB8">
      <w:pPr>
        <w:jc w:val="center"/>
        <w:rPr>
          <w:b/>
          <w:szCs w:val="28"/>
        </w:rPr>
      </w:pPr>
      <w:r>
        <w:rPr>
          <w:b/>
          <w:szCs w:val="28"/>
        </w:rPr>
        <w:t>на 2025 – 2029 годы</w:t>
      </w:r>
    </w:p>
    <w:p w14:paraId="027F57A3">
      <w:pPr>
        <w:jc w:val="center"/>
        <w:rPr>
          <w:sz w:val="26"/>
          <w:szCs w:val="26"/>
        </w:rPr>
      </w:pPr>
    </w:p>
    <w:p w14:paraId="6A51C50E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ПАСПОРТ ПОДПРОГРАММЫ </w:t>
      </w:r>
    </w:p>
    <w:p w14:paraId="5E0196CF">
      <w:pPr>
        <w:jc w:val="center"/>
        <w:rPr>
          <w:b/>
          <w:sz w:val="26"/>
          <w:szCs w:val="26"/>
        </w:rPr>
      </w:pPr>
    </w:p>
    <w:tbl>
      <w:tblPr>
        <w:tblStyle w:val="4"/>
        <w:tblW w:w="4885" w:type="pct"/>
        <w:tblInd w:w="235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6"/>
        <w:gridCol w:w="7857"/>
      </w:tblGrid>
      <w:tr w14:paraId="312CE6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08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7E03632E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Cs w:val="28"/>
                <w:lang w:val="en-US" w:eastAsia="en-US"/>
              </w:rPr>
            </w:pPr>
            <w:r>
              <w:rPr>
                <w:szCs w:val="28"/>
                <w:lang w:eastAsia="en-US"/>
              </w:rPr>
              <w:t>Ответственный исполнитель Подпрограммы</w:t>
            </w:r>
          </w:p>
        </w:tc>
        <w:tc>
          <w:tcPr>
            <w:tcW w:w="391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6300CFB3">
            <w:pPr>
              <w:spacing w:line="256" w:lineRule="auto"/>
              <w:jc w:val="both"/>
              <w:rPr>
                <w:bCs/>
                <w:szCs w:val="28"/>
                <w:lang w:eastAsia="en-US"/>
              </w:rPr>
            </w:pPr>
            <w:r>
              <w:rPr>
                <w:szCs w:val="28"/>
              </w:rPr>
              <w:t>Администрация муниципального округа</w:t>
            </w:r>
          </w:p>
        </w:tc>
      </w:tr>
      <w:tr w14:paraId="7659DD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08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229D8D6D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Соисполнители Подпрограммы</w:t>
            </w:r>
          </w:p>
        </w:tc>
        <w:tc>
          <w:tcPr>
            <w:tcW w:w="391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1147461F">
            <w:pPr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</w:rPr>
              <w:t>Финансово-экономическое управление Анучинского муниципального округа</w:t>
            </w:r>
          </w:p>
        </w:tc>
      </w:tr>
      <w:tr w14:paraId="60E733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08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7096CAE3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Цель Подпрограммы</w:t>
            </w:r>
          </w:p>
        </w:tc>
        <w:tc>
          <w:tcPr>
            <w:tcW w:w="391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63F248FE">
            <w:pPr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</w:rPr>
              <w:t>Обеспечение граждан жильём надлежащего качества, закрепление кадров на селе.</w:t>
            </w:r>
          </w:p>
        </w:tc>
      </w:tr>
      <w:tr w14:paraId="610E04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08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209F7B4E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Задачи Подпрограммы</w:t>
            </w:r>
          </w:p>
        </w:tc>
        <w:tc>
          <w:tcPr>
            <w:tcW w:w="391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214A2E8A">
            <w:pPr>
              <w:ind w:left="80"/>
              <w:jc w:val="both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1. Создание условий для включения граждан в сводный список по району для участия в программе по улучшению жилищных условий;</w:t>
            </w:r>
          </w:p>
          <w:p w14:paraId="35E81762">
            <w:pPr>
              <w:spacing w:line="256" w:lineRule="auto"/>
              <w:ind w:firstLine="140" w:firstLineChars="50"/>
              <w:jc w:val="both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2. Субсидирование в размере 1 % социальных выплат семьям- участникам программы;</w:t>
            </w:r>
          </w:p>
          <w:p w14:paraId="23D5EDBC">
            <w:pPr>
              <w:spacing w:line="256" w:lineRule="auto"/>
              <w:jc w:val="both"/>
              <w:rPr>
                <w:bCs/>
                <w:color w:val="000000"/>
                <w:szCs w:val="28"/>
                <w:lang w:eastAsia="en-US"/>
              </w:rPr>
            </w:pPr>
            <w:r>
              <w:rPr>
                <w:bCs/>
                <w:color w:val="000000"/>
                <w:szCs w:val="28"/>
              </w:rPr>
              <w:t>3. Выплата подъёмных молодым специалистам</w:t>
            </w:r>
          </w:p>
        </w:tc>
      </w:tr>
      <w:tr w14:paraId="2579D6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08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71D6A109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Показатели муниципальной программы, характеризующие цели и задачи подпрограммы</w:t>
            </w:r>
          </w:p>
        </w:tc>
        <w:tc>
          <w:tcPr>
            <w:tcW w:w="391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51ECD2F3">
            <w:pPr>
              <w:ind w:left="80"/>
              <w:jc w:val="both"/>
              <w:rPr>
                <w:rFonts w:eastAsia="Calibri"/>
                <w:szCs w:val="28"/>
              </w:rPr>
            </w:pPr>
            <w:r>
              <w:rPr>
                <w:bCs/>
                <w:szCs w:val="28"/>
              </w:rPr>
              <w:t>1.Количество приобретённого жилья</w:t>
            </w:r>
            <w:r>
              <w:rPr>
                <w:rFonts w:eastAsia="Calibri"/>
                <w:szCs w:val="28"/>
              </w:rPr>
              <w:t>;</w:t>
            </w:r>
          </w:p>
          <w:p w14:paraId="056597B6">
            <w:pPr>
              <w:ind w:firstLine="140" w:firstLineChars="50"/>
              <w:jc w:val="both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2.Количество молодых специалистов.</w:t>
            </w:r>
          </w:p>
        </w:tc>
      </w:tr>
      <w:tr w14:paraId="579716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08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4E143A6F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Сроки реализации Подпрограммы</w:t>
            </w:r>
          </w:p>
        </w:tc>
        <w:tc>
          <w:tcPr>
            <w:tcW w:w="391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79128C23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Подпрограмма реализуется в один этап в сроки 2025-2029 годы</w:t>
            </w:r>
          </w:p>
        </w:tc>
      </w:tr>
      <w:tr w14:paraId="416EBF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108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5A4402E0">
            <w:pPr>
              <w:spacing w:line="256" w:lineRule="auto"/>
              <w:rPr>
                <w:szCs w:val="28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Объем средств бюджета Анучинского муниципального округа на финансирование Программы и прогнозная оценка привлекаемых на реализацию ее целей средств федерального, краевого бюджетов </w:t>
            </w:r>
          </w:p>
        </w:tc>
        <w:tc>
          <w:tcPr>
            <w:tcW w:w="391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</w:tcPr>
          <w:p w14:paraId="7E2F3CD0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Cs w:val="28"/>
              </w:rPr>
            </w:pPr>
            <w:r>
              <w:rPr>
                <w:szCs w:val="28"/>
              </w:rPr>
              <w:t>Объем средств бюджетных ассигнований на реализацию программы составляет 1592,0 тыс. рублей, в том числе из бюджета Анучинского МО:</w:t>
            </w:r>
          </w:p>
          <w:p w14:paraId="753CF7E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Cs w:val="28"/>
              </w:rPr>
            </w:pPr>
            <w:r>
              <w:rPr>
                <w:szCs w:val="28"/>
              </w:rPr>
              <w:t>2025 год - 378,4 тыс. рублей;</w:t>
            </w:r>
          </w:p>
          <w:p w14:paraId="3EFFABB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Cs w:val="28"/>
              </w:rPr>
            </w:pPr>
            <w:r>
              <w:rPr>
                <w:szCs w:val="28"/>
              </w:rPr>
              <w:t>2026 год - 378,4 тыс. рублей;</w:t>
            </w:r>
          </w:p>
          <w:p w14:paraId="716A7D7D">
            <w:pPr>
              <w:widowControl w:val="0"/>
              <w:autoSpaceDE w:val="0"/>
              <w:autoSpaceDN w:val="0"/>
              <w:adjustRightInd w:val="0"/>
              <w:ind w:firstLine="720"/>
              <w:rPr>
                <w:szCs w:val="28"/>
              </w:rPr>
            </w:pPr>
            <w:r>
              <w:rPr>
                <w:szCs w:val="28"/>
              </w:rPr>
              <w:t>2027 год - 78,4 тыс. рублей;</w:t>
            </w:r>
          </w:p>
          <w:p w14:paraId="1D5D1C99">
            <w:pPr>
              <w:widowControl w:val="0"/>
              <w:autoSpaceDE w:val="0"/>
              <w:autoSpaceDN w:val="0"/>
              <w:adjustRightInd w:val="0"/>
              <w:ind w:firstLine="720"/>
              <w:rPr>
                <w:szCs w:val="28"/>
              </w:rPr>
            </w:pPr>
            <w:r>
              <w:rPr>
                <w:szCs w:val="28"/>
              </w:rPr>
              <w:t>2028 год - 378,4 тыс. рублей;</w:t>
            </w:r>
          </w:p>
          <w:p w14:paraId="181EDA8C">
            <w:pPr>
              <w:widowControl w:val="0"/>
              <w:autoSpaceDE w:val="0"/>
              <w:autoSpaceDN w:val="0"/>
              <w:adjustRightInd w:val="0"/>
              <w:ind w:firstLine="720"/>
              <w:rPr>
                <w:szCs w:val="28"/>
              </w:rPr>
            </w:pPr>
            <w:r>
              <w:rPr>
                <w:szCs w:val="28"/>
              </w:rPr>
              <w:t>2029 год - 378,4 тыс. рублей</w:t>
            </w:r>
          </w:p>
          <w:p w14:paraId="72B2F2D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</w:rPr>
            </w:pPr>
            <w:r>
              <w:rPr>
                <w:rFonts w:eastAsiaTheme="minorHAnsi"/>
                <w:szCs w:val="28"/>
              </w:rPr>
              <w:t>Прогнозная оценка средств, привлекаемых на реализацию целей программы составляет:</w:t>
            </w:r>
          </w:p>
          <w:p w14:paraId="561B14F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</w:rPr>
            </w:pPr>
            <w:r>
              <w:rPr>
                <w:rFonts w:eastAsiaTheme="minorHAnsi"/>
                <w:szCs w:val="28"/>
              </w:rPr>
              <w:t>из федерального бюджета, составляет 0,0 тыс. рублей, в том числе:</w:t>
            </w:r>
          </w:p>
          <w:p w14:paraId="6800597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eastAsia="SimSun"/>
                <w:szCs w:val="28"/>
                <w:lang w:eastAsia="zh-CN"/>
              </w:rPr>
            </w:pPr>
            <w:r>
              <w:rPr>
                <w:rFonts w:eastAsia="SimSun"/>
                <w:szCs w:val="28"/>
                <w:lang w:eastAsia="zh-CN"/>
              </w:rPr>
              <w:t xml:space="preserve"> 2025 год - 0,0 тыс. рублей;</w:t>
            </w:r>
          </w:p>
          <w:p w14:paraId="70750F3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eastAsia="SimSun"/>
                <w:szCs w:val="28"/>
                <w:lang w:eastAsia="zh-CN"/>
              </w:rPr>
            </w:pPr>
            <w:r>
              <w:rPr>
                <w:rFonts w:eastAsia="SimSun"/>
                <w:szCs w:val="28"/>
                <w:lang w:eastAsia="zh-CN"/>
              </w:rPr>
              <w:t xml:space="preserve"> 2026 год - 0,0 тыс. рублей;</w:t>
            </w:r>
          </w:p>
          <w:p w14:paraId="55D644F1">
            <w:pPr>
              <w:ind w:left="64" w:right="64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 2027 год - 0,0 тыс. рублей</w:t>
            </w:r>
          </w:p>
          <w:p w14:paraId="181FAACB">
            <w:pPr>
              <w:rPr>
                <w:szCs w:val="28"/>
              </w:rPr>
            </w:pPr>
            <w:r>
              <w:rPr>
                <w:szCs w:val="28"/>
              </w:rPr>
              <w:t xml:space="preserve">           2028 год - 0,0 тыс. рублей;</w:t>
            </w:r>
          </w:p>
          <w:p w14:paraId="11E7EE0A">
            <w:pPr>
              <w:rPr>
                <w:szCs w:val="28"/>
              </w:rPr>
            </w:pPr>
            <w:r>
              <w:rPr>
                <w:szCs w:val="28"/>
              </w:rPr>
              <w:t xml:space="preserve">           2029 год - 0,0 тыс. рублей</w:t>
            </w:r>
          </w:p>
          <w:p w14:paraId="09A3A34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8"/>
              </w:rPr>
            </w:pPr>
            <w:r>
              <w:rPr>
                <w:rFonts w:eastAsiaTheme="minorHAnsi"/>
                <w:szCs w:val="28"/>
              </w:rPr>
              <w:t>из краевого бюджета, составляет 0,0 тыс. рублей, в том числе:</w:t>
            </w:r>
          </w:p>
          <w:p w14:paraId="65BB32E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eastAsia="SimSun"/>
                <w:szCs w:val="28"/>
                <w:lang w:eastAsia="zh-CN"/>
              </w:rPr>
            </w:pPr>
            <w:r>
              <w:rPr>
                <w:rFonts w:eastAsia="SimSun"/>
                <w:szCs w:val="28"/>
                <w:lang w:eastAsia="zh-CN"/>
              </w:rPr>
              <w:t>2025 год - 0,0 тыс. рублей;</w:t>
            </w:r>
          </w:p>
          <w:p w14:paraId="599DBC63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eastAsia="SimSun"/>
                <w:szCs w:val="28"/>
                <w:lang w:eastAsia="zh-CN"/>
              </w:rPr>
            </w:pPr>
            <w:r>
              <w:rPr>
                <w:rFonts w:eastAsia="SimSun"/>
                <w:szCs w:val="28"/>
                <w:lang w:eastAsia="zh-CN"/>
              </w:rPr>
              <w:t>2026 год - 0,0 тыс. рублей;</w:t>
            </w:r>
          </w:p>
          <w:p w14:paraId="1350F956">
            <w:pPr>
              <w:rPr>
                <w:szCs w:val="28"/>
              </w:rPr>
            </w:pPr>
            <w:r>
              <w:rPr>
                <w:szCs w:val="28"/>
              </w:rPr>
              <w:t xml:space="preserve">          2027 год - 0,0 тыс. рублей</w:t>
            </w:r>
          </w:p>
          <w:p w14:paraId="247A03C7">
            <w:pPr>
              <w:rPr>
                <w:szCs w:val="28"/>
              </w:rPr>
            </w:pPr>
            <w:r>
              <w:rPr>
                <w:szCs w:val="28"/>
              </w:rPr>
              <w:t xml:space="preserve">          2028 год - 0,0 тыс. рублей;</w:t>
            </w:r>
          </w:p>
          <w:p w14:paraId="77EFB139">
            <w:pPr>
              <w:spacing w:line="256" w:lineRule="auto"/>
              <w:rPr>
                <w:szCs w:val="28"/>
                <w:lang w:eastAsia="en-US"/>
              </w:rPr>
            </w:pPr>
            <w:r>
              <w:rPr>
                <w:szCs w:val="28"/>
              </w:rPr>
              <w:t xml:space="preserve">          2029 год - 0,0 тыс. рублей</w:t>
            </w:r>
          </w:p>
        </w:tc>
      </w:tr>
    </w:tbl>
    <w:p w14:paraId="50C600C6">
      <w:pPr>
        <w:widowControl w:val="0"/>
        <w:autoSpaceDE w:val="0"/>
        <w:autoSpaceDN w:val="0"/>
        <w:adjustRightInd w:val="0"/>
        <w:ind w:firstLine="720"/>
        <w:jc w:val="center"/>
        <w:rPr>
          <w:b/>
          <w:szCs w:val="28"/>
        </w:rPr>
      </w:pPr>
    </w:p>
    <w:p w14:paraId="57189AAC">
      <w:pPr>
        <w:widowControl w:val="0"/>
        <w:autoSpaceDE w:val="0"/>
        <w:autoSpaceDN w:val="0"/>
        <w:adjustRightInd w:val="0"/>
        <w:ind w:firstLine="720"/>
        <w:jc w:val="center"/>
        <w:rPr>
          <w:szCs w:val="28"/>
        </w:rPr>
      </w:pPr>
    </w:p>
    <w:p w14:paraId="65F2A428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28906D0C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47B42905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65967F7A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59A5634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38DE9394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4DD0671C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4F108EEA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49477682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559A285A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160AD758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38F40BDB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0577B5F1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5C8B88CF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700C581F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249D7ED2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491704F2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13259CC5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24FBF7C7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715D4855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22ACEA2E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5EA09F94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5316EBCC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3160D4B1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6ACC4D22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3AB81274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42A8C4C8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5F9201EC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7F60AFB2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3B412E42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4E9877B6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p w14:paraId="1E46A292">
      <w:pPr>
        <w:widowControl w:val="0"/>
        <w:autoSpaceDE w:val="0"/>
        <w:autoSpaceDN w:val="0"/>
        <w:adjustRightInd w:val="0"/>
        <w:ind w:firstLine="720"/>
        <w:jc w:val="right"/>
        <w:rPr>
          <w:b/>
          <w:szCs w:val="28"/>
        </w:rPr>
      </w:pPr>
    </w:p>
    <w:sectPr>
      <w:pgSz w:w="11906" w:h="16838"/>
      <w:pgMar w:top="1134" w:right="992" w:bottom="1134" w:left="851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31E5DD4"/>
    <w:multiLevelType w:val="singleLevel"/>
    <w:tmpl w:val="C31E5DD4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FEFC91F4"/>
    <w:multiLevelType w:val="singleLevel"/>
    <w:tmpl w:val="FEFC91F4"/>
    <w:lvl w:ilvl="0" w:tentative="0">
      <w:start w:val="1"/>
      <w:numFmt w:val="decimal"/>
      <w:suff w:val="space"/>
      <w:lvlText w:val="%1."/>
      <w:lvlJc w:val="left"/>
      <w:pPr>
        <w:ind w:left="60" w:firstLine="0"/>
      </w:pPr>
    </w:lvl>
  </w:abstractNum>
  <w:abstractNum w:abstractNumId="2">
    <w:nsid w:val="26762694"/>
    <w:multiLevelType w:val="multilevel"/>
    <w:tmpl w:val="26762694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364347"/>
    <w:multiLevelType w:val="multilevel"/>
    <w:tmpl w:val="4E364347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8A5A14"/>
    <w:multiLevelType w:val="multilevel"/>
    <w:tmpl w:val="748A5A14"/>
    <w:lvl w:ilvl="0" w:tentative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entative="0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 w:tentative="0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 w:tentative="0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 w:tentative="0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 w:tentative="0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 w:tentative="0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 w:tentative="0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182"/>
    <w:rsid w:val="0000407B"/>
    <w:rsid w:val="00030886"/>
    <w:rsid w:val="00032FD1"/>
    <w:rsid w:val="000349DF"/>
    <w:rsid w:val="0004371F"/>
    <w:rsid w:val="00045899"/>
    <w:rsid w:val="0005191E"/>
    <w:rsid w:val="0006332F"/>
    <w:rsid w:val="00067392"/>
    <w:rsid w:val="00067BFB"/>
    <w:rsid w:val="000C1452"/>
    <w:rsid w:val="000C2D8C"/>
    <w:rsid w:val="000C6EF5"/>
    <w:rsid w:val="000C7B8E"/>
    <w:rsid w:val="000E4054"/>
    <w:rsid w:val="000E7EBD"/>
    <w:rsid w:val="001112E9"/>
    <w:rsid w:val="001154F1"/>
    <w:rsid w:val="001261E7"/>
    <w:rsid w:val="00167A70"/>
    <w:rsid w:val="0019681A"/>
    <w:rsid w:val="001B4041"/>
    <w:rsid w:val="001B6ADB"/>
    <w:rsid w:val="001C7D29"/>
    <w:rsid w:val="001D1873"/>
    <w:rsid w:val="001F6A48"/>
    <w:rsid w:val="00213EB8"/>
    <w:rsid w:val="0022609D"/>
    <w:rsid w:val="00255DC1"/>
    <w:rsid w:val="00284B0D"/>
    <w:rsid w:val="00285AD0"/>
    <w:rsid w:val="00297EDB"/>
    <w:rsid w:val="002E3A96"/>
    <w:rsid w:val="002F1710"/>
    <w:rsid w:val="00311EB5"/>
    <w:rsid w:val="0032128C"/>
    <w:rsid w:val="003517C6"/>
    <w:rsid w:val="0035411F"/>
    <w:rsid w:val="003557A3"/>
    <w:rsid w:val="00362DA3"/>
    <w:rsid w:val="00375846"/>
    <w:rsid w:val="00380E80"/>
    <w:rsid w:val="0038373D"/>
    <w:rsid w:val="00393880"/>
    <w:rsid w:val="003C2BC8"/>
    <w:rsid w:val="003C401A"/>
    <w:rsid w:val="003D044D"/>
    <w:rsid w:val="003D7CBB"/>
    <w:rsid w:val="00410852"/>
    <w:rsid w:val="00412407"/>
    <w:rsid w:val="004175E6"/>
    <w:rsid w:val="00427BE0"/>
    <w:rsid w:val="00435C4A"/>
    <w:rsid w:val="00435DB3"/>
    <w:rsid w:val="00443854"/>
    <w:rsid w:val="004536B1"/>
    <w:rsid w:val="004A6476"/>
    <w:rsid w:val="004C65FE"/>
    <w:rsid w:val="004C7D8C"/>
    <w:rsid w:val="004E4204"/>
    <w:rsid w:val="004F05B1"/>
    <w:rsid w:val="0051694B"/>
    <w:rsid w:val="00536909"/>
    <w:rsid w:val="00542B87"/>
    <w:rsid w:val="00546827"/>
    <w:rsid w:val="0055155D"/>
    <w:rsid w:val="0056189B"/>
    <w:rsid w:val="00565FCB"/>
    <w:rsid w:val="00567DAA"/>
    <w:rsid w:val="005707BB"/>
    <w:rsid w:val="00581224"/>
    <w:rsid w:val="00583E39"/>
    <w:rsid w:val="00586831"/>
    <w:rsid w:val="00593BC0"/>
    <w:rsid w:val="005A1182"/>
    <w:rsid w:val="005B6CB0"/>
    <w:rsid w:val="005C5841"/>
    <w:rsid w:val="005D3258"/>
    <w:rsid w:val="005E6B43"/>
    <w:rsid w:val="005F6124"/>
    <w:rsid w:val="0061548B"/>
    <w:rsid w:val="00655B7C"/>
    <w:rsid w:val="00683027"/>
    <w:rsid w:val="0069525E"/>
    <w:rsid w:val="006A0C75"/>
    <w:rsid w:val="006A396F"/>
    <w:rsid w:val="006B096C"/>
    <w:rsid w:val="006B59DD"/>
    <w:rsid w:val="006E5E59"/>
    <w:rsid w:val="006E5FC3"/>
    <w:rsid w:val="006F1923"/>
    <w:rsid w:val="006F3CCA"/>
    <w:rsid w:val="00720DA0"/>
    <w:rsid w:val="00740627"/>
    <w:rsid w:val="00741F94"/>
    <w:rsid w:val="00753CE2"/>
    <w:rsid w:val="007575EE"/>
    <w:rsid w:val="00781ED9"/>
    <w:rsid w:val="007A33A0"/>
    <w:rsid w:val="007C47D4"/>
    <w:rsid w:val="007E07D9"/>
    <w:rsid w:val="007E6089"/>
    <w:rsid w:val="007F3139"/>
    <w:rsid w:val="0082613A"/>
    <w:rsid w:val="00840C55"/>
    <w:rsid w:val="00850212"/>
    <w:rsid w:val="00861587"/>
    <w:rsid w:val="00880ED5"/>
    <w:rsid w:val="00886780"/>
    <w:rsid w:val="00896FE8"/>
    <w:rsid w:val="008B2B75"/>
    <w:rsid w:val="008B2CCD"/>
    <w:rsid w:val="008C04B8"/>
    <w:rsid w:val="00927130"/>
    <w:rsid w:val="00930CD6"/>
    <w:rsid w:val="0093272C"/>
    <w:rsid w:val="00943F0E"/>
    <w:rsid w:val="00947C65"/>
    <w:rsid w:val="00953FCE"/>
    <w:rsid w:val="00966BC1"/>
    <w:rsid w:val="00981C02"/>
    <w:rsid w:val="009913CF"/>
    <w:rsid w:val="009B47DE"/>
    <w:rsid w:val="009C5980"/>
    <w:rsid w:val="009D04E9"/>
    <w:rsid w:val="009D0F5B"/>
    <w:rsid w:val="00A32B44"/>
    <w:rsid w:val="00A7591F"/>
    <w:rsid w:val="00AA1E38"/>
    <w:rsid w:val="00AA5F4C"/>
    <w:rsid w:val="00AC29BF"/>
    <w:rsid w:val="00AE2460"/>
    <w:rsid w:val="00AF1E44"/>
    <w:rsid w:val="00B0381D"/>
    <w:rsid w:val="00B23CA7"/>
    <w:rsid w:val="00B263FA"/>
    <w:rsid w:val="00B323E1"/>
    <w:rsid w:val="00B54FA4"/>
    <w:rsid w:val="00B74A9C"/>
    <w:rsid w:val="00B93EF6"/>
    <w:rsid w:val="00BB1B77"/>
    <w:rsid w:val="00BC177A"/>
    <w:rsid w:val="00BD08A2"/>
    <w:rsid w:val="00BD7FCD"/>
    <w:rsid w:val="00BE7C12"/>
    <w:rsid w:val="00BF7E4E"/>
    <w:rsid w:val="00C145A5"/>
    <w:rsid w:val="00C157E4"/>
    <w:rsid w:val="00C20D0A"/>
    <w:rsid w:val="00C23FF7"/>
    <w:rsid w:val="00C46410"/>
    <w:rsid w:val="00C71CB2"/>
    <w:rsid w:val="00C7272D"/>
    <w:rsid w:val="00C76FEA"/>
    <w:rsid w:val="00CE69C7"/>
    <w:rsid w:val="00CF5D00"/>
    <w:rsid w:val="00D032C4"/>
    <w:rsid w:val="00D07EEC"/>
    <w:rsid w:val="00D1689B"/>
    <w:rsid w:val="00D45250"/>
    <w:rsid w:val="00D47629"/>
    <w:rsid w:val="00D50A46"/>
    <w:rsid w:val="00D647DC"/>
    <w:rsid w:val="00D77404"/>
    <w:rsid w:val="00DC1AA6"/>
    <w:rsid w:val="00DF0C15"/>
    <w:rsid w:val="00E2164A"/>
    <w:rsid w:val="00E27192"/>
    <w:rsid w:val="00E44336"/>
    <w:rsid w:val="00E47CE4"/>
    <w:rsid w:val="00E516EF"/>
    <w:rsid w:val="00E52695"/>
    <w:rsid w:val="00E60D9E"/>
    <w:rsid w:val="00E61AE4"/>
    <w:rsid w:val="00E62FB8"/>
    <w:rsid w:val="00E67F81"/>
    <w:rsid w:val="00E90715"/>
    <w:rsid w:val="00EA1BB2"/>
    <w:rsid w:val="00F04FF8"/>
    <w:rsid w:val="00F20459"/>
    <w:rsid w:val="00F34FF7"/>
    <w:rsid w:val="00F43B67"/>
    <w:rsid w:val="00F45E8F"/>
    <w:rsid w:val="00F57CA3"/>
    <w:rsid w:val="00F83CAC"/>
    <w:rsid w:val="00F8578C"/>
    <w:rsid w:val="00F860FF"/>
    <w:rsid w:val="00F86FDD"/>
    <w:rsid w:val="00F91967"/>
    <w:rsid w:val="00FA2107"/>
    <w:rsid w:val="00FC17A4"/>
    <w:rsid w:val="00FC3B4A"/>
    <w:rsid w:val="00FC3DCF"/>
    <w:rsid w:val="00FE276B"/>
    <w:rsid w:val="0BE35318"/>
    <w:rsid w:val="0E1C38E3"/>
    <w:rsid w:val="0F1F1154"/>
    <w:rsid w:val="10C4539E"/>
    <w:rsid w:val="12F113C1"/>
    <w:rsid w:val="16817765"/>
    <w:rsid w:val="191612D6"/>
    <w:rsid w:val="1E6C2CFC"/>
    <w:rsid w:val="254A7E7F"/>
    <w:rsid w:val="25F2491F"/>
    <w:rsid w:val="273C29CE"/>
    <w:rsid w:val="2AE637F0"/>
    <w:rsid w:val="2C183F96"/>
    <w:rsid w:val="2C402354"/>
    <w:rsid w:val="2DD51A90"/>
    <w:rsid w:val="310D63A9"/>
    <w:rsid w:val="335F5D04"/>
    <w:rsid w:val="45C67CB7"/>
    <w:rsid w:val="4A9B15FE"/>
    <w:rsid w:val="4D2307E9"/>
    <w:rsid w:val="57A87501"/>
    <w:rsid w:val="58EF77BB"/>
    <w:rsid w:val="59237228"/>
    <w:rsid w:val="59DB14C2"/>
    <w:rsid w:val="5A750030"/>
    <w:rsid w:val="5E005BB9"/>
    <w:rsid w:val="5E1B0AE8"/>
    <w:rsid w:val="619967F1"/>
    <w:rsid w:val="646540C9"/>
    <w:rsid w:val="6B023738"/>
    <w:rsid w:val="6D2425FC"/>
    <w:rsid w:val="6E827326"/>
    <w:rsid w:val="769C5683"/>
    <w:rsid w:val="7BFD16CE"/>
    <w:rsid w:val="7C966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nhideWhenUsed="0" w:uiPriority="9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8"/>
      <w:lang w:val="ru-RU" w:eastAsia="ru-RU" w:bidi="ar-SA"/>
    </w:rPr>
  </w:style>
  <w:style w:type="paragraph" w:styleId="2">
    <w:name w:val="heading 4"/>
    <w:basedOn w:val="1"/>
    <w:next w:val="1"/>
    <w:link w:val="27"/>
    <w:autoRedefine/>
    <w:qFormat/>
    <w:uiPriority w:val="99"/>
    <w:pPr>
      <w:keepNext/>
      <w:spacing w:before="240" w:after="60"/>
      <w:outlineLvl w:val="3"/>
    </w:pPr>
    <w:rPr>
      <w:b/>
      <w:bCs/>
      <w:szCs w:val="28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autoRedefine/>
    <w:unhideWhenUsed/>
    <w:qFormat/>
    <w:uiPriority w:val="99"/>
    <w:rPr>
      <w:color w:val="0000FF"/>
      <w:u w:val="single"/>
    </w:rPr>
  </w:style>
  <w:style w:type="paragraph" w:styleId="6">
    <w:name w:val="header"/>
    <w:basedOn w:val="1"/>
    <w:link w:val="22"/>
    <w:autoRedefine/>
    <w:unhideWhenUsed/>
    <w:qFormat/>
    <w:uiPriority w:val="99"/>
    <w:pPr>
      <w:tabs>
        <w:tab w:val="center" w:pos="4677"/>
        <w:tab w:val="right" w:pos="9355"/>
      </w:tabs>
    </w:pPr>
  </w:style>
  <w:style w:type="paragraph" w:styleId="7">
    <w:name w:val="Body Text"/>
    <w:basedOn w:val="1"/>
    <w:link w:val="13"/>
    <w:autoRedefine/>
    <w:unhideWhenUsed/>
    <w:qFormat/>
    <w:uiPriority w:val="99"/>
    <w:pPr>
      <w:spacing w:after="120"/>
    </w:pPr>
  </w:style>
  <w:style w:type="paragraph" w:styleId="8">
    <w:name w:val="Body Text Indent"/>
    <w:basedOn w:val="1"/>
    <w:link w:val="20"/>
    <w:autoRedefine/>
    <w:qFormat/>
    <w:uiPriority w:val="0"/>
    <w:pPr>
      <w:spacing w:after="120"/>
      <w:ind w:left="283"/>
    </w:pPr>
    <w:rPr>
      <w:sz w:val="20"/>
    </w:rPr>
  </w:style>
  <w:style w:type="paragraph" w:styleId="9">
    <w:name w:val="footer"/>
    <w:basedOn w:val="1"/>
    <w:link w:val="23"/>
    <w:autoRedefine/>
    <w:unhideWhenUsed/>
    <w:qFormat/>
    <w:uiPriority w:val="99"/>
    <w:pPr>
      <w:tabs>
        <w:tab w:val="center" w:pos="4677"/>
        <w:tab w:val="right" w:pos="9355"/>
      </w:tabs>
    </w:pPr>
  </w:style>
  <w:style w:type="paragraph" w:styleId="10">
    <w:name w:val="Body Text Indent 2"/>
    <w:basedOn w:val="1"/>
    <w:link w:val="14"/>
    <w:autoRedefine/>
    <w:semiHidden/>
    <w:unhideWhenUsed/>
    <w:qFormat/>
    <w:uiPriority w:val="99"/>
    <w:pPr>
      <w:spacing w:after="120" w:line="480" w:lineRule="auto"/>
      <w:ind w:left="283"/>
    </w:pPr>
  </w:style>
  <w:style w:type="table" w:styleId="11">
    <w:name w:val="Table Grid"/>
    <w:basedOn w:val="4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2">
    <w:name w:val="ConsPlusTitle"/>
    <w:autoRedefine/>
    <w:qFormat/>
    <w:uiPriority w:val="0"/>
    <w:pPr>
      <w:widowControl w:val="0"/>
      <w:autoSpaceDE w:val="0"/>
      <w:autoSpaceDN w:val="0"/>
    </w:pPr>
    <w:rPr>
      <w:rFonts w:ascii="Calibri" w:hAnsi="Calibri" w:eastAsia="Times New Roman" w:cs="Calibri"/>
      <w:b/>
      <w:sz w:val="22"/>
      <w:lang w:val="ru-RU" w:eastAsia="ru-RU" w:bidi="ar-SA"/>
    </w:rPr>
  </w:style>
  <w:style w:type="character" w:customStyle="1" w:styleId="13">
    <w:name w:val="Основной текст Знак"/>
    <w:basedOn w:val="3"/>
    <w:link w:val="7"/>
    <w:autoRedefine/>
    <w:qFormat/>
    <w:uiPriority w:val="99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customStyle="1" w:styleId="14">
    <w:name w:val="Основной текст с отступом 2 Знак"/>
    <w:basedOn w:val="3"/>
    <w:link w:val="10"/>
    <w:autoRedefine/>
    <w:semiHidden/>
    <w:qFormat/>
    <w:uiPriority w:val="99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customStyle="1" w:styleId="15">
    <w:name w:val="ConsPlusNonformat"/>
    <w:autoRedefine/>
    <w:qFormat/>
    <w:uiPriority w:val="0"/>
    <w:pPr>
      <w:widowControl w:val="0"/>
      <w:autoSpaceDE w:val="0"/>
      <w:autoSpaceDN w:val="0"/>
      <w:adjustRightInd w:val="0"/>
    </w:pPr>
    <w:rPr>
      <w:rFonts w:ascii="Courier New" w:hAnsi="Courier New" w:eastAsia="Times New Roman" w:cs="Courier New"/>
      <w:lang w:val="ru-RU" w:eastAsia="en-US" w:bidi="ar-SA"/>
    </w:rPr>
  </w:style>
  <w:style w:type="paragraph" w:styleId="16">
    <w:name w:val="List Paragraph"/>
    <w:basedOn w:val="1"/>
    <w:link w:val="25"/>
    <w:autoRedefine/>
    <w:qFormat/>
    <w:uiPriority w:val="34"/>
    <w:pPr>
      <w:ind w:left="720"/>
      <w:contextualSpacing/>
    </w:pPr>
  </w:style>
  <w:style w:type="paragraph" w:customStyle="1" w:styleId="17">
    <w:name w:val="ГОСТ текст"/>
    <w:basedOn w:val="1"/>
    <w:link w:val="18"/>
    <w:autoRedefine/>
    <w:qFormat/>
    <w:uiPriority w:val="0"/>
    <w:pPr>
      <w:spacing w:after="160" w:line="360" w:lineRule="auto"/>
      <w:ind w:firstLine="709"/>
      <w:jc w:val="both"/>
    </w:pPr>
    <w:rPr>
      <w:rFonts w:eastAsia="Calibri"/>
      <w:sz w:val="26"/>
      <w:szCs w:val="26"/>
      <w:lang w:eastAsia="en-US"/>
    </w:rPr>
  </w:style>
  <w:style w:type="character" w:customStyle="1" w:styleId="18">
    <w:name w:val="ГОСТ текст Знак"/>
    <w:basedOn w:val="3"/>
    <w:link w:val="17"/>
    <w:autoRedefine/>
    <w:qFormat/>
    <w:uiPriority w:val="0"/>
    <w:rPr>
      <w:rFonts w:ascii="Times New Roman" w:hAnsi="Times New Roman" w:eastAsia="Calibri" w:cs="Times New Roman"/>
      <w:sz w:val="26"/>
      <w:szCs w:val="26"/>
    </w:rPr>
  </w:style>
  <w:style w:type="paragraph" w:customStyle="1" w:styleId="19">
    <w:name w:val="ConsPlusNormal"/>
    <w:autoRedefine/>
    <w:qFormat/>
    <w:uiPriority w:val="99"/>
    <w:pPr>
      <w:widowControl w:val="0"/>
      <w:autoSpaceDE w:val="0"/>
      <w:autoSpaceDN w:val="0"/>
      <w:adjustRightInd w:val="0"/>
      <w:ind w:firstLine="720"/>
    </w:pPr>
    <w:rPr>
      <w:rFonts w:ascii="Arial" w:hAnsi="Arial" w:eastAsia="SimSun" w:cs="Arial"/>
      <w:lang w:val="ru-RU" w:eastAsia="zh-CN" w:bidi="ar-SA"/>
    </w:rPr>
  </w:style>
  <w:style w:type="character" w:customStyle="1" w:styleId="20">
    <w:name w:val="Основной текст с отступом Знак"/>
    <w:basedOn w:val="3"/>
    <w:link w:val="8"/>
    <w:autoRedefine/>
    <w:qFormat/>
    <w:uiPriority w:val="0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customStyle="1" w:styleId="21">
    <w:name w:val="Default"/>
    <w:autoRedefine/>
    <w:qFormat/>
    <w:uiPriority w:val="0"/>
    <w:pPr>
      <w:autoSpaceDE w:val="0"/>
      <w:autoSpaceDN w:val="0"/>
      <w:adjustRightInd w:val="0"/>
    </w:pPr>
    <w:rPr>
      <w:rFonts w:ascii="Times New Roman" w:hAnsi="Times New Roman" w:cs="Times New Roman" w:eastAsiaTheme="minorHAnsi"/>
      <w:color w:val="000000"/>
      <w:sz w:val="24"/>
      <w:szCs w:val="24"/>
      <w:lang w:val="ru-RU" w:eastAsia="en-US" w:bidi="ar-SA"/>
    </w:rPr>
  </w:style>
  <w:style w:type="character" w:customStyle="1" w:styleId="22">
    <w:name w:val="Верхний колонтитул Знак"/>
    <w:basedOn w:val="3"/>
    <w:link w:val="6"/>
    <w:autoRedefine/>
    <w:qFormat/>
    <w:uiPriority w:val="99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customStyle="1" w:styleId="23">
    <w:name w:val="Нижний колонтитул Знак"/>
    <w:basedOn w:val="3"/>
    <w:link w:val="9"/>
    <w:autoRedefine/>
    <w:qFormat/>
    <w:uiPriority w:val="99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customStyle="1" w:styleId="24">
    <w:name w:val="Обычный (веб) Знак"/>
    <w:autoRedefine/>
    <w:qFormat/>
    <w:locked/>
    <w:uiPriority w:val="0"/>
    <w:rPr>
      <w:rFonts w:ascii="Verdana" w:hAnsi="Verdana" w:cs="Times New Roman"/>
      <w:sz w:val="16"/>
      <w:szCs w:val="16"/>
      <w:lang w:eastAsia="ru-RU"/>
    </w:rPr>
  </w:style>
  <w:style w:type="character" w:customStyle="1" w:styleId="25">
    <w:name w:val="Абзац списка Знак"/>
    <w:link w:val="16"/>
    <w:autoRedefine/>
    <w:qFormat/>
    <w:locked/>
    <w:uiPriority w:val="34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customStyle="1" w:styleId="26">
    <w:name w:val="ConsPlusCell"/>
    <w:autoRedefine/>
    <w:qFormat/>
    <w:uiPriority w:val="0"/>
    <w:pPr>
      <w:autoSpaceDE w:val="0"/>
      <w:autoSpaceDN w:val="0"/>
      <w:adjustRightInd w:val="0"/>
    </w:pPr>
    <w:rPr>
      <w:rFonts w:ascii="Times New Roman" w:hAnsi="Times New Roman" w:eastAsia="Times New Roman" w:cs="Times New Roman"/>
      <w:sz w:val="26"/>
      <w:szCs w:val="26"/>
      <w:lang w:val="ru-RU" w:eastAsia="ru-RU" w:bidi="ar-SA"/>
    </w:rPr>
  </w:style>
  <w:style w:type="character" w:customStyle="1" w:styleId="27">
    <w:name w:val="Заголовок 4 Знак"/>
    <w:basedOn w:val="3"/>
    <w:link w:val="2"/>
    <w:autoRedefine/>
    <w:qFormat/>
    <w:uiPriority w:val="99"/>
    <w:rPr>
      <w:rFonts w:ascii="Times New Roman" w:hAnsi="Times New Roman" w:eastAsia="Times New Roman" w:cs="Times New Roman"/>
      <w:b/>
      <w:bCs/>
      <w:sz w:val="28"/>
      <w:szCs w:val="28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3325</Words>
  <Characters>18956</Characters>
  <Lines>157</Lines>
  <Paragraphs>44</Paragraphs>
  <TotalTime>27</TotalTime>
  <ScaleCrop>false</ScaleCrop>
  <LinksUpToDate>false</LinksUpToDate>
  <CharactersWithSpaces>22237</CharactersWithSpaces>
  <Application>WPS Office_12.2.0.21179_F1E327BC-269C-435d-A152-05C5408002CA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2024-12-26T04:56:00Z</dcterms:created>
  <dc:creator>Ирина В. Скорикова</dc:creator>
  <cp:lastModifiedBy>WPS_1706838892</cp:lastModifiedBy>
  <cp:lastPrinted>2025-06-05T23:33:00Z</cp:lastPrinted>
  <dcterms:modified xsi:type="dcterms:W3CDTF">2025-06-05T23:34:28Z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1049-12.2.0.21179</vt:lpwstr>
  </property>
  <property fmtid="{D5CDD505-2E9C-101B-9397-08002B2CF9AE}" pid="3" name="ICV">
    <vt:lpwstr>DB057CB939C844779E5AF357A54209BD_12</vt:lpwstr>
  </property>
</Properties>
</file>