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0C99D2">
      <w:pPr>
        <w:shd w:val="clear" w:color="auto" w:fill="FFFFFF"/>
        <w:jc w:val="center"/>
        <w:rPr>
          <w:color w:val="000000"/>
          <w:sz w:val="18"/>
        </w:rPr>
      </w:pPr>
    </w:p>
    <w:p w14:paraId="0240A19E">
      <w:pPr>
        <w:shd w:val="clear" w:color="auto" w:fill="FFFFFF"/>
        <w:jc w:val="center"/>
        <w:rPr>
          <w:color w:val="000000"/>
          <w:sz w:val="18"/>
        </w:rPr>
      </w:pPr>
      <w:r>
        <w:drawing>
          <wp:inline distT="0" distB="0" distL="0" distR="0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D5D0E">
      <w:pPr>
        <w:shd w:val="clear" w:color="auto" w:fill="FFFFFF"/>
        <w:spacing w:before="227" w:after="0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АДМИНИСТРАЦИЯ </w:t>
      </w:r>
      <w:r>
        <w:rPr>
          <w:b/>
          <w:color w:val="000000"/>
          <w:spacing w:val="20"/>
          <w:sz w:val="32"/>
        </w:rPr>
        <w:br w:type="textWrapping"/>
      </w:r>
      <w:r>
        <w:rPr>
          <w:b/>
          <w:color w:val="000000"/>
          <w:spacing w:val="20"/>
          <w:sz w:val="32"/>
        </w:rPr>
        <w:t>АНУЧИНСКОГО МУНИЦИПАЛЬНОГО ОКРУГА ПРИМОРСКОГО КРАЯ</w:t>
      </w:r>
    </w:p>
    <w:p w14:paraId="087A416F">
      <w:pPr>
        <w:pStyle w:val="2"/>
        <w:rPr>
          <w:b w:val="0"/>
          <w:bCs w:val="0"/>
          <w:sz w:val="32"/>
          <w:szCs w:val="32"/>
        </w:rPr>
      </w:pPr>
    </w:p>
    <w:p w14:paraId="67C5A6E7">
      <w:pPr>
        <w:pStyle w:val="2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Р А С П О Р Я Ж Е Н И Е</w:t>
      </w:r>
    </w:p>
    <w:p w14:paraId="40441CF7">
      <w:pPr>
        <w:shd w:val="clear" w:color="auto" w:fill="FFFFFF"/>
        <w:jc w:val="center"/>
        <w:rPr>
          <w:color w:val="000000"/>
          <w:sz w:val="16"/>
        </w:rPr>
      </w:pPr>
    </w:p>
    <w:p w14:paraId="0196F974">
      <w:pPr>
        <w:shd w:val="clear" w:color="auto" w:fill="FFFFFF"/>
        <w:jc w:val="center"/>
        <w:rPr>
          <w:color w:val="000000"/>
          <w:sz w:val="16"/>
        </w:rPr>
      </w:pPr>
    </w:p>
    <w:tbl>
      <w:tblPr>
        <w:tblStyle w:val="7"/>
        <w:tblW w:w="92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"/>
        <w:gridCol w:w="2080"/>
        <w:gridCol w:w="134"/>
        <w:gridCol w:w="4889"/>
        <w:gridCol w:w="564"/>
        <w:gridCol w:w="1313"/>
      </w:tblGrid>
      <w:tr w14:paraId="5E25A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290" w:type="dxa"/>
            <w:shd w:val="clear" w:color="auto" w:fill="auto"/>
          </w:tcPr>
          <w:p w14:paraId="4CD2234D">
            <w:pPr>
              <w:widowControl w:val="0"/>
              <w:rPr>
                <w:color w:val="000000"/>
                <w:u w:val="single"/>
              </w:rPr>
            </w:pPr>
          </w:p>
        </w:tc>
        <w:tc>
          <w:tcPr>
            <w:tcW w:w="2080" w:type="dxa"/>
            <w:tcBorders>
              <w:bottom w:val="single" w:color="000000" w:sz="6" w:space="0"/>
            </w:tcBorders>
            <w:shd w:val="clear" w:color="auto" w:fill="auto"/>
          </w:tcPr>
          <w:p w14:paraId="0A294A2A">
            <w:pPr>
              <w:widowControl w:val="0"/>
              <w:ind w:left="-82" w:right="-108"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</w:p>
          <w:p w14:paraId="6439777F">
            <w:pPr>
              <w:widowControl w:val="0"/>
              <w:ind w:left="-82" w:right="-108" w:firstLine="0"/>
              <w:jc w:val="center"/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29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ru-RU"/>
              </w:rPr>
              <w:t>мая</w:t>
            </w:r>
            <w:r>
              <w:rPr>
                <w:color w:val="000000"/>
                <w:sz w:val="28"/>
                <w:szCs w:val="28"/>
              </w:rPr>
              <w:t xml:space="preserve"> 202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 xml:space="preserve">6 </w:t>
            </w:r>
            <w:r>
              <w:rPr>
                <w:color w:val="000000"/>
                <w:sz w:val="28"/>
                <w:szCs w:val="28"/>
              </w:rPr>
              <w:t xml:space="preserve">г. </w:t>
            </w:r>
          </w:p>
        </w:tc>
        <w:tc>
          <w:tcPr>
            <w:tcW w:w="134" w:type="dxa"/>
            <w:shd w:val="clear" w:color="auto" w:fill="auto"/>
          </w:tcPr>
          <w:p w14:paraId="200995B3">
            <w:pPr>
              <w:widowControl w:val="0"/>
              <w:rPr>
                <w:color w:val="000000"/>
                <w:u w:val="single"/>
              </w:rPr>
            </w:pPr>
          </w:p>
        </w:tc>
        <w:tc>
          <w:tcPr>
            <w:tcW w:w="4889" w:type="dxa"/>
            <w:shd w:val="clear" w:color="auto" w:fill="auto"/>
          </w:tcPr>
          <w:p w14:paraId="0FF027E9">
            <w:pPr>
              <w:widowControl w:val="0"/>
              <w:ind w:left="-675" w:firstLine="0"/>
              <w:jc w:val="center"/>
            </w:pPr>
          </w:p>
          <w:p w14:paraId="342B1939">
            <w:pPr>
              <w:widowControl w:val="0"/>
              <w:tabs>
                <w:tab w:val="left" w:pos="1365"/>
              </w:tabs>
              <w:ind w:left="-675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4" w:type="dxa"/>
            <w:shd w:val="clear" w:color="auto" w:fill="auto"/>
          </w:tcPr>
          <w:p w14:paraId="009CBF26">
            <w:pPr>
              <w:widowControl w:val="0"/>
              <w:jc w:val="center"/>
              <w:rPr>
                <w:color w:val="000000"/>
              </w:rPr>
            </w:pPr>
          </w:p>
          <w:p w14:paraId="3CE9C2C4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13" w:type="dxa"/>
            <w:tcBorders>
              <w:bottom w:val="single" w:color="000000" w:sz="6" w:space="0"/>
            </w:tcBorders>
            <w:shd w:val="clear" w:color="auto" w:fill="auto"/>
          </w:tcPr>
          <w:p w14:paraId="07FF70EF">
            <w:pPr>
              <w:widowControl w:val="0"/>
              <w:ind w:right="-89" w:firstLine="0"/>
              <w:jc w:val="center"/>
              <w:rPr>
                <w:color w:val="000000"/>
                <w:sz w:val="28"/>
                <w:szCs w:val="28"/>
              </w:rPr>
            </w:pPr>
          </w:p>
          <w:p w14:paraId="4058FE39">
            <w:pPr>
              <w:widowControl w:val="0"/>
              <w:ind w:right="-89"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Calibri"/>
                <w:b w:val="0"/>
                <w:bCs/>
                <w:sz w:val="28"/>
                <w:szCs w:val="28"/>
                <w:lang w:val="ru-RU"/>
              </w:rPr>
              <w:t>№ 349-р</w:t>
            </w:r>
            <w:bookmarkStart w:id="6" w:name="_GoBack"/>
            <w:bookmarkEnd w:id="6"/>
          </w:p>
        </w:tc>
      </w:tr>
    </w:tbl>
    <w:p w14:paraId="0314F09F">
      <w:pPr>
        <w:shd w:val="clear" w:color="auto" w:fill="FFFFFF"/>
        <w:rPr>
          <w:b/>
          <w:color w:val="000000"/>
          <w:sz w:val="32"/>
          <w:szCs w:val="32"/>
        </w:rPr>
      </w:pPr>
    </w:p>
    <w:tbl>
      <w:tblPr>
        <w:tblStyle w:val="46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3"/>
      </w:tblGrid>
      <w:tr w14:paraId="675629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9" w:type="dxa"/>
          </w:tcPr>
          <w:p w14:paraId="5B77CDA0">
            <w:pPr>
              <w:pStyle w:val="45"/>
              <w:spacing w:before="0" w:after="0"/>
              <w:jc w:val="center"/>
              <w:rPr>
                <w:b/>
                <w:bCs/>
                <w:sz w:val="28"/>
              </w:rPr>
            </w:pPr>
          </w:p>
          <w:p w14:paraId="24C70CEF">
            <w:pPr>
              <w:pStyle w:val="45"/>
              <w:spacing w:before="0" w:after="0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Об утверждении Порядка внешнего информационного </w:t>
            </w:r>
          </w:p>
          <w:p w14:paraId="29F37BDD">
            <w:pPr>
              <w:pStyle w:val="45"/>
              <w:spacing w:before="0" w:after="0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взаимодействия по инцидентам в области персональных данных</w:t>
            </w:r>
          </w:p>
          <w:p w14:paraId="36EE1987">
            <w:pPr>
              <w:pStyle w:val="45"/>
              <w:spacing w:before="0" w:after="0"/>
              <w:jc w:val="center"/>
              <w:rPr>
                <w:b/>
                <w:bCs/>
                <w:sz w:val="28"/>
              </w:rPr>
            </w:pPr>
          </w:p>
        </w:tc>
      </w:tr>
    </w:tbl>
    <w:p w14:paraId="0C3DBEF0">
      <w:pPr>
        <w:pStyle w:val="48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 публичной власти», в целях выполнения требований Федерального закона от 27.07.2006 г. № 152-ФЗ «О персональных данных», </w:t>
      </w:r>
      <w:bookmarkStart w:id="0" w:name="_Hlk229667688"/>
      <w:r>
        <w:rPr>
          <w:sz w:val="28"/>
          <w:szCs w:val="28"/>
        </w:rPr>
        <w:t xml:space="preserve">руководствуясь Уставом </w:t>
      </w:r>
      <w:r>
        <w:rPr>
          <w:sz w:val="28"/>
          <w:szCs w:val="28"/>
          <w:lang w:val="ru-RU"/>
        </w:rPr>
        <w:t>Анучинского</w:t>
      </w:r>
      <w:r>
        <w:rPr>
          <w:sz w:val="28"/>
          <w:szCs w:val="28"/>
        </w:rPr>
        <w:t xml:space="preserve"> муниципального округа Приморского края, администрация </w:t>
      </w:r>
      <w:r>
        <w:rPr>
          <w:sz w:val="28"/>
          <w:szCs w:val="28"/>
          <w:lang w:val="ru-RU"/>
        </w:rPr>
        <w:t>Анучинского</w:t>
      </w:r>
      <w:r>
        <w:rPr>
          <w:sz w:val="28"/>
          <w:szCs w:val="28"/>
        </w:rPr>
        <w:t xml:space="preserve"> муниципального округа </w:t>
      </w:r>
    </w:p>
    <w:bookmarkEnd w:id="0"/>
    <w:p w14:paraId="43C36636">
      <w:pPr>
        <w:ind w:firstLine="708" w:firstLineChars="0"/>
        <w:rPr>
          <w:b/>
          <w:sz w:val="28"/>
          <w:szCs w:val="20"/>
        </w:rPr>
      </w:pPr>
    </w:p>
    <w:p w14:paraId="5BD727C3">
      <w:pPr>
        <w:ind w:firstLine="708" w:firstLineChars="0"/>
        <w:rPr>
          <w:b/>
          <w:sz w:val="28"/>
          <w:szCs w:val="20"/>
        </w:rPr>
      </w:pPr>
    </w:p>
    <w:p w14:paraId="70452669">
      <w:pPr>
        <w:pStyle w:val="47"/>
        <w:spacing w:line="360" w:lineRule="auto"/>
        <w:rPr>
          <w:sz w:val="28"/>
        </w:rPr>
      </w:pPr>
      <w:r>
        <w:rPr>
          <w:sz w:val="28"/>
        </w:rPr>
        <w:t>Утвердить прилагаемый Порядок внешнего информационного взаимодействия по инцидентам в области персональных данных.</w:t>
      </w:r>
    </w:p>
    <w:p w14:paraId="0BD63B2A">
      <w:pPr>
        <w:pStyle w:val="34"/>
        <w:tabs>
          <w:tab w:val="left" w:pos="0"/>
          <w:tab w:val="clear" w:pos="993"/>
        </w:tabs>
        <w:spacing w:line="360" w:lineRule="auto"/>
        <w:rPr>
          <w:rFonts w:eastAsia="Calibri"/>
          <w:sz w:val="28"/>
        </w:rPr>
      </w:pPr>
      <w:r>
        <w:rPr>
          <w:rFonts w:eastAsia="Calibri"/>
          <w:sz w:val="28"/>
        </w:rPr>
        <w:t>Постановление вступает в силу со дня его подписания.</w:t>
      </w:r>
    </w:p>
    <w:p w14:paraId="376C31D6">
      <w:pPr>
        <w:pStyle w:val="30"/>
        <w:jc w:val="both"/>
        <w:rPr>
          <w:rStyle w:val="32"/>
          <w:rFonts w:hint="default" w:eastAsia="Calibri"/>
          <w:sz w:val="28"/>
          <w:szCs w:val="28"/>
          <w:lang w:val="ru-RU"/>
        </w:rPr>
      </w:pPr>
      <w:r>
        <w:rPr>
          <w:rFonts w:eastAsia="Calibri"/>
          <w:sz w:val="28"/>
        </w:rPr>
        <w:t xml:space="preserve">Контроль за исполнением данного постановления возложить на заместителя главы администрации </w:t>
      </w:r>
      <w:r>
        <w:rPr>
          <w:rFonts w:eastAsia="Calibri"/>
          <w:sz w:val="28"/>
          <w:lang w:val="ru-RU"/>
        </w:rPr>
        <w:t>Анучинского</w:t>
      </w:r>
      <w:r>
        <w:rPr>
          <w:rFonts w:eastAsia="Calibri"/>
          <w:sz w:val="28"/>
        </w:rPr>
        <w:t xml:space="preserve"> муниципального округа </w:t>
      </w:r>
      <w:r>
        <w:rPr>
          <w:rFonts w:eastAsia="Calibri"/>
          <w:sz w:val="28"/>
          <w:lang w:val="ru-RU"/>
        </w:rPr>
        <w:t>Грисюк</w:t>
      </w:r>
      <w:r>
        <w:rPr>
          <w:rFonts w:hint="default" w:eastAsia="Calibri"/>
          <w:sz w:val="28"/>
          <w:lang w:val="ru-RU"/>
        </w:rPr>
        <w:t xml:space="preserve"> А.Н.</w:t>
      </w:r>
    </w:p>
    <w:p w14:paraId="530B6035">
      <w:pPr>
        <w:jc w:val="both"/>
        <w:rPr>
          <w:sz w:val="28"/>
          <w:szCs w:val="28"/>
        </w:rPr>
      </w:pPr>
    </w:p>
    <w:p w14:paraId="4FDB16CA">
      <w:pPr>
        <w:jc w:val="both"/>
        <w:rPr>
          <w:sz w:val="28"/>
          <w:szCs w:val="28"/>
        </w:rPr>
      </w:pPr>
    </w:p>
    <w:p w14:paraId="1DE946E8">
      <w:pPr>
        <w:jc w:val="both"/>
      </w:pPr>
      <w:r>
        <w:rPr>
          <w:sz w:val="28"/>
          <w:szCs w:val="28"/>
        </w:rPr>
        <w:t>Глава  Анучинского</w:t>
      </w:r>
    </w:p>
    <w:p w14:paraId="1915C580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   А. Я. Янчук</w:t>
      </w:r>
    </w:p>
    <w:p w14:paraId="758DB4E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50607AD">
      <w:pPr>
        <w:spacing w:line="276" w:lineRule="auto"/>
        <w:ind w:left="4536"/>
        <w:jc w:val="center"/>
        <w:rPr>
          <w:rFonts w:ascii="Times New Roman" w:hAnsi="Times New Roman" w:eastAsia="Times New Roman" w:cs="SimSun"/>
          <w:sz w:val="26"/>
          <w:szCs w:val="28"/>
          <w:lang w:val="ru-RU" w:eastAsia="en-US" w:bidi="ar-SA"/>
        </w:rPr>
      </w:pPr>
      <w:r>
        <w:rPr>
          <w:rFonts w:ascii="Times New Roman" w:hAnsi="Times New Roman" w:eastAsia="Calibri" w:cs="SimSun"/>
          <w:caps/>
          <w:sz w:val="26"/>
          <w:szCs w:val="28"/>
          <w:lang w:val="ru-RU" w:eastAsia="en-US" w:bidi="ar-SA"/>
        </w:rPr>
        <w:t>Утверждены</w:t>
      </w:r>
    </w:p>
    <w:p w14:paraId="775169F9">
      <w:pPr>
        <w:spacing w:line="276" w:lineRule="auto"/>
        <w:ind w:left="4536"/>
        <w:jc w:val="center"/>
        <w:rPr>
          <w:rFonts w:ascii="Times New Roman" w:hAnsi="Times New Roman" w:eastAsia="Times New Roman" w:cs="SimSun"/>
          <w:sz w:val="26"/>
          <w:szCs w:val="28"/>
          <w:lang w:val="ru-RU" w:eastAsia="en-US" w:bidi="ar-SA"/>
        </w:rPr>
      </w:pPr>
      <w:r>
        <w:rPr>
          <w:rFonts w:ascii="Times New Roman" w:hAnsi="Times New Roman" w:eastAsia="Times New Roman" w:cs="SimSun"/>
          <w:sz w:val="26"/>
          <w:szCs w:val="28"/>
          <w:lang w:val="ru-RU" w:eastAsia="en-US" w:bidi="ar-SA"/>
        </w:rPr>
        <w:t>распоряжением Администрации Анучинского муниципального округа</w:t>
      </w:r>
    </w:p>
    <w:p w14:paraId="5F4BBB67">
      <w:pPr>
        <w:spacing w:line="276" w:lineRule="auto"/>
        <w:ind w:left="4536"/>
        <w:jc w:val="center"/>
        <w:rPr>
          <w:rFonts w:ascii="Times New Roman" w:hAnsi="Times New Roman" w:eastAsia="Times New Roman" w:cs="SimSun"/>
          <w:sz w:val="26"/>
          <w:szCs w:val="28"/>
          <w:lang w:val="ru-RU" w:eastAsia="en-US" w:bidi="ar-SA"/>
        </w:rPr>
      </w:pPr>
      <w:r>
        <w:rPr>
          <w:rFonts w:ascii="Times New Roman" w:hAnsi="Times New Roman" w:eastAsia="Times New Roman" w:cs="SimSun"/>
          <w:sz w:val="26"/>
          <w:szCs w:val="28"/>
          <w:lang w:val="ru-RU" w:eastAsia="en-US" w:bidi="ar-SA"/>
        </w:rPr>
        <w:t>от «__» _________20__г. № ___</w:t>
      </w:r>
    </w:p>
    <w:p w14:paraId="52453467">
      <w:pPr>
        <w:widowControl w:val="0"/>
        <w:tabs>
          <w:tab w:val="left" w:pos="720"/>
        </w:tabs>
        <w:suppressAutoHyphens/>
        <w:autoSpaceDE w:val="0"/>
        <w:autoSpaceDN w:val="0"/>
        <w:bidi w:val="0"/>
        <w:adjustRightInd w:val="0"/>
        <w:spacing w:before="0" w:after="0" w:line="276" w:lineRule="auto"/>
        <w:jc w:val="left"/>
        <w:rPr>
          <w:rFonts w:ascii="Times New Roman" w:hAnsi="Times New Roman" w:eastAsia="Calibri" w:cs="SimSun"/>
          <w:b/>
          <w:kern w:val="0"/>
          <w:sz w:val="26"/>
          <w:szCs w:val="28"/>
          <w:lang w:eastAsia="en-US"/>
        </w:rPr>
      </w:pPr>
    </w:p>
    <w:p w14:paraId="6B32AEF2">
      <w:pPr>
        <w:pStyle w:val="39"/>
        <w:rPr>
          <w:sz w:val="26"/>
          <w:szCs w:val="26"/>
        </w:rPr>
      </w:pPr>
      <w:r>
        <w:rPr>
          <w:sz w:val="26"/>
          <w:szCs w:val="26"/>
        </w:rPr>
        <w:t>Порядок внешнего информационного взаимодействия по инцидентам в области персональных данных</w:t>
      </w:r>
    </w:p>
    <w:p w14:paraId="126E6391">
      <w:pPr>
        <w:pStyle w:val="40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Общие положения</w:t>
      </w:r>
    </w:p>
    <w:p w14:paraId="2FEE69A6">
      <w:pPr>
        <w:pStyle w:val="4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Настоящий Порядок внешнего информационного взаимодействия администрации </w:t>
      </w:r>
      <w:r>
        <w:rPr>
          <w:sz w:val="26"/>
          <w:szCs w:val="26"/>
          <w:lang w:val="ru-RU"/>
        </w:rPr>
        <w:t>Анучинского</w:t>
      </w:r>
      <w:r>
        <w:rPr>
          <w:sz w:val="26"/>
          <w:szCs w:val="26"/>
        </w:rPr>
        <w:t xml:space="preserve"> муниципального округа по инцидентам в области персональных данных (далее – Порядок) разработан с учетом:</w:t>
      </w:r>
    </w:p>
    <w:p w14:paraId="6857D314">
      <w:pPr>
        <w:pStyle w:val="44"/>
        <w:tabs>
          <w:tab w:val="left" w:pos="1276"/>
        </w:tabs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закона от 27 июля 2006 г. № 152-ФЗ «О персональных данных»;</w:t>
      </w:r>
    </w:p>
    <w:p w14:paraId="0C4994F0">
      <w:pPr>
        <w:pStyle w:val="44"/>
        <w:tabs>
          <w:tab w:val="left" w:pos="1276"/>
        </w:tabs>
        <w:jc w:val="both"/>
        <w:rPr>
          <w:sz w:val="26"/>
          <w:szCs w:val="26"/>
        </w:rPr>
      </w:pPr>
      <w:r>
        <w:rPr>
          <w:sz w:val="26"/>
          <w:szCs w:val="26"/>
        </w:rPr>
        <w:t>приказа Федеральной службы по надзору в сфере связи, информационных технологий и массовых коммуникаций от 14 ноября 2022 г. № 187 «Об утверждении Порядка и условий взаимодействия Федеральной службы по надзору в сфере связи, информационных технологий и массовых коммуникаций с операторами в рамках ведения реестра учета инцидентов в области персональных данных»;</w:t>
      </w:r>
    </w:p>
    <w:p w14:paraId="7DE37986">
      <w:pPr>
        <w:pStyle w:val="44"/>
        <w:tabs>
          <w:tab w:val="left" w:pos="1276"/>
        </w:tabs>
        <w:jc w:val="both"/>
        <w:rPr>
          <w:sz w:val="26"/>
          <w:szCs w:val="26"/>
        </w:rPr>
      </w:pPr>
      <w:r>
        <w:rPr>
          <w:sz w:val="26"/>
          <w:szCs w:val="26"/>
        </w:rPr>
        <w:t>приказа Федеральной службы безопасности Российской Федерации от 13 февраля 2023 г. № 77 «Об утверждении порядка взаимодействия операторов с государственной системой обнаружения, предупреждения и ликвидации последствий компьютерных атак на информационные ресурсы Российской Федерации, включая информирование ФСБ России о компьютерных инцидентах, повлекших неправомерную передачу (предоставление, распространение, доступ) персональных данных».</w:t>
      </w:r>
    </w:p>
    <w:p w14:paraId="1ABA0EAE">
      <w:pPr>
        <w:pStyle w:val="4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Целью разработки данного Порядка является установление порядка, условий и правил внешнего информационного взаимодействия администрации </w:t>
      </w:r>
      <w:r>
        <w:rPr>
          <w:sz w:val="26"/>
          <w:szCs w:val="26"/>
          <w:lang w:val="ru-RU"/>
        </w:rPr>
        <w:t>Анучинского</w:t>
      </w:r>
      <w:r>
        <w:rPr>
          <w:sz w:val="26"/>
          <w:szCs w:val="26"/>
        </w:rPr>
        <w:t xml:space="preserve"> муниципального округа (далее – администрация </w:t>
      </w:r>
      <w:r>
        <w:rPr>
          <w:sz w:val="26"/>
          <w:szCs w:val="26"/>
          <w:lang w:val="ru-RU"/>
        </w:rPr>
        <w:t>Анучинского</w:t>
      </w:r>
      <w:r>
        <w:rPr>
          <w:sz w:val="26"/>
          <w:szCs w:val="26"/>
        </w:rPr>
        <w:t xml:space="preserve"> муниципального округа Приморского края) по инцидентам в области персональных данных (далее – ПДн) с:</w:t>
      </w:r>
    </w:p>
    <w:p w14:paraId="6ED1EC92">
      <w:pPr>
        <w:pStyle w:val="44"/>
        <w:tabs>
          <w:tab w:val="left" w:pos="1276"/>
        </w:tabs>
        <w:jc w:val="both"/>
        <w:rPr>
          <w:sz w:val="26"/>
          <w:szCs w:val="26"/>
        </w:rPr>
      </w:pPr>
      <w:r>
        <w:rPr>
          <w:sz w:val="26"/>
          <w:szCs w:val="26"/>
        </w:rPr>
        <w:t>уполномоченным органом по защите прав субъектов ПДн (Роскомнадзор);</w:t>
      </w:r>
    </w:p>
    <w:p w14:paraId="066D8232">
      <w:pPr>
        <w:pStyle w:val="44"/>
        <w:tabs>
          <w:tab w:val="left" w:pos="1276"/>
        </w:tabs>
        <w:jc w:val="both"/>
        <w:rPr>
          <w:sz w:val="26"/>
          <w:szCs w:val="26"/>
        </w:rPr>
      </w:pPr>
      <w:r>
        <w:rPr>
          <w:sz w:val="26"/>
          <w:szCs w:val="26"/>
        </w:rPr>
        <w:t>государственной системой обнаружения, предупреждения и ликвидации последствий компьютерных атак на информационные ресурсы Российской Федерации (ГосСОПКА).</w:t>
      </w:r>
    </w:p>
    <w:p w14:paraId="32287408">
      <w:pPr>
        <w:pStyle w:val="4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Настоящий Порядок предназначен для сотрудников администрации </w:t>
      </w:r>
      <w:r>
        <w:rPr>
          <w:sz w:val="26"/>
          <w:szCs w:val="26"/>
          <w:lang w:val="ru-RU"/>
        </w:rPr>
        <w:t>Анучинского</w:t>
      </w:r>
      <w:r>
        <w:rPr>
          <w:sz w:val="26"/>
          <w:szCs w:val="26"/>
        </w:rPr>
        <w:t xml:space="preserve"> муниципального округа Приморского края, на которых возложены обязанности (функции) по информированию об инцидентах в области персональных данных государственной системы обнаружения, предупреждения и ликвидации последствий компьютерных атак на информационные ресурсы Российской Федерации и уполномоченного органа по защите прав субъектов персональных данных (далее – Ответственный).</w:t>
      </w:r>
    </w:p>
    <w:p w14:paraId="54F835C4">
      <w:pPr>
        <w:pStyle w:val="41"/>
        <w:jc w:val="both"/>
        <w:rPr>
          <w:sz w:val="26"/>
          <w:szCs w:val="26"/>
        </w:rPr>
      </w:pPr>
      <w:r>
        <w:rPr>
          <w:sz w:val="26"/>
          <w:szCs w:val="26"/>
        </w:rPr>
        <w:t>Настоящий Порядок подлежит анализу и пересмотру (при необходимости) в следующих случаях:</w:t>
      </w:r>
    </w:p>
    <w:p w14:paraId="51337865">
      <w:pPr>
        <w:pStyle w:val="44"/>
        <w:tabs>
          <w:tab w:val="left" w:pos="1276"/>
        </w:tabs>
        <w:jc w:val="both"/>
        <w:rPr>
          <w:sz w:val="26"/>
          <w:szCs w:val="26"/>
        </w:rPr>
      </w:pPr>
      <w:r>
        <w:rPr>
          <w:sz w:val="26"/>
          <w:szCs w:val="26"/>
        </w:rPr>
        <w:t>периодически – не реже чем один раз в год;</w:t>
      </w:r>
    </w:p>
    <w:p w14:paraId="3E9E8C83">
      <w:pPr>
        <w:pStyle w:val="44"/>
        <w:tabs>
          <w:tab w:val="left" w:pos="1276"/>
        </w:tabs>
        <w:jc w:val="both"/>
        <w:rPr>
          <w:sz w:val="26"/>
          <w:szCs w:val="26"/>
        </w:rPr>
      </w:pPr>
      <w:r>
        <w:rPr>
          <w:sz w:val="26"/>
          <w:szCs w:val="26"/>
        </w:rPr>
        <w:t>изменения нормативных правовых актов, указанных в пункте 1.1 настоящего Порядка – не позднее десяти рабочих дней с момента вступления в силу соответствующих изменений.</w:t>
      </w:r>
    </w:p>
    <w:p w14:paraId="638164EA">
      <w:pPr>
        <w:pStyle w:val="41"/>
        <w:jc w:val="both"/>
        <w:rPr>
          <w:sz w:val="26"/>
          <w:szCs w:val="26"/>
        </w:rPr>
      </w:pPr>
      <w:r>
        <w:rPr>
          <w:sz w:val="26"/>
          <w:szCs w:val="26"/>
        </w:rPr>
        <w:t>Сокращения, используемые в рамках настоящего Порядка:</w:t>
      </w:r>
    </w:p>
    <w:p w14:paraId="7609515A">
      <w:pPr>
        <w:pStyle w:val="42"/>
        <w:jc w:val="both"/>
        <w:rPr>
          <w:sz w:val="26"/>
          <w:szCs w:val="26"/>
        </w:rPr>
      </w:pPr>
      <w:r>
        <w:rPr>
          <w:sz w:val="26"/>
          <w:szCs w:val="26"/>
        </w:rPr>
        <w:t>Роскомнадзор – Федеральная служба по надзору в сфере связи, информационных технологий и массовых коммуникаций.</w:t>
      </w:r>
    </w:p>
    <w:p w14:paraId="5E82DC8F">
      <w:pPr>
        <w:pStyle w:val="42"/>
        <w:jc w:val="both"/>
        <w:rPr>
          <w:sz w:val="26"/>
          <w:szCs w:val="26"/>
        </w:rPr>
      </w:pPr>
      <w:r>
        <w:rPr>
          <w:sz w:val="26"/>
          <w:szCs w:val="26"/>
        </w:rPr>
        <w:t>Портал персональных данных – портал персональных данных Федеральной службы по надзору в сфере связи, информационных технологий и массовых коммуникаций в информационно-телекоммуникационной сети «Интернет» (https://pd.rkn.gov.ru/).</w:t>
      </w:r>
    </w:p>
    <w:p w14:paraId="5D544552">
      <w:pPr>
        <w:pStyle w:val="42"/>
        <w:jc w:val="both"/>
        <w:rPr>
          <w:sz w:val="26"/>
          <w:szCs w:val="26"/>
        </w:rPr>
      </w:pPr>
      <w:r>
        <w:rPr>
          <w:sz w:val="26"/>
          <w:szCs w:val="26"/>
        </w:rPr>
        <w:t>ЕСИА –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14:paraId="04F43FCC">
      <w:pPr>
        <w:pStyle w:val="42"/>
        <w:jc w:val="both"/>
        <w:rPr>
          <w:sz w:val="26"/>
          <w:szCs w:val="26"/>
        </w:rPr>
      </w:pPr>
      <w:r>
        <w:rPr>
          <w:sz w:val="26"/>
          <w:szCs w:val="26"/>
        </w:rPr>
        <w:t>Скомпрометированная база данных – база данных, содержание которой стало доступно неограниченному кругу лиц в результате неправомерной или случайной передачи (предоставления, распространения, доступа) ПДн.</w:t>
      </w:r>
    </w:p>
    <w:p w14:paraId="294022E4">
      <w:pPr>
        <w:pStyle w:val="42"/>
        <w:jc w:val="both"/>
        <w:rPr>
          <w:sz w:val="26"/>
          <w:szCs w:val="26"/>
        </w:rPr>
      </w:pPr>
      <w:r>
        <w:rPr>
          <w:sz w:val="26"/>
          <w:szCs w:val="26"/>
        </w:rPr>
        <w:t>Инцидент в области персональных данных (инцидент) – установленный факт неправомерной или случайной передачи (предоставления, распространения, доступа) ПДн, повлекшей за собой нарушение прав субъектов ПДн.</w:t>
      </w:r>
    </w:p>
    <w:p w14:paraId="1C875DFF">
      <w:pPr>
        <w:pStyle w:val="42"/>
        <w:jc w:val="both"/>
        <w:rPr>
          <w:sz w:val="26"/>
          <w:szCs w:val="26"/>
        </w:rPr>
      </w:pPr>
      <w:r>
        <w:rPr>
          <w:sz w:val="26"/>
          <w:szCs w:val="26"/>
        </w:rPr>
        <w:t>Компьютерный инцидент – факт нарушения и (или) прекращения функционирования информационного ресурса, сети электросвязи, используемой для организации взаимодействия информационных ресурсов, и (или) нарушения безопасности обрабатываемой в информационном ресурсе информации, в том числе произошедший в результате компьютерной атаки.</w:t>
      </w:r>
    </w:p>
    <w:p w14:paraId="102DB8F6">
      <w:pPr>
        <w:pStyle w:val="42"/>
        <w:jc w:val="both"/>
        <w:rPr>
          <w:sz w:val="26"/>
          <w:szCs w:val="26"/>
        </w:rPr>
      </w:pPr>
      <w:r>
        <w:rPr>
          <w:sz w:val="26"/>
          <w:szCs w:val="26"/>
        </w:rPr>
        <w:t>ГосСОПКА – государственная система обнаружения, предупреждения и ликвидации последствий компьютерных атак на информационные ресурсы Российской Федерации.</w:t>
      </w:r>
    </w:p>
    <w:p w14:paraId="451D671F">
      <w:pPr>
        <w:pStyle w:val="42"/>
        <w:jc w:val="both"/>
        <w:rPr>
          <w:sz w:val="26"/>
          <w:szCs w:val="26"/>
        </w:rPr>
      </w:pPr>
      <w:r>
        <w:rPr>
          <w:sz w:val="26"/>
          <w:szCs w:val="26"/>
        </w:rPr>
        <w:t>НКЦКИ – национальный координационный центр по компьютерным инцидентам.</w:t>
      </w:r>
    </w:p>
    <w:p w14:paraId="1409DB1E">
      <w:pPr>
        <w:pStyle w:val="40"/>
        <w:jc w:val="both"/>
        <w:rPr>
          <w:rFonts w:eastAsia="Calibri"/>
          <w:sz w:val="26"/>
          <w:szCs w:val="26"/>
          <w:lang w:eastAsia="en-US"/>
        </w:rPr>
      </w:pPr>
      <w:bookmarkStart w:id="1" w:name="_Toc26886806"/>
      <w:r>
        <w:rPr>
          <w:rFonts w:eastAsia="Calibri"/>
          <w:sz w:val="26"/>
          <w:szCs w:val="26"/>
          <w:lang w:eastAsia="en-US"/>
        </w:rPr>
        <w:t>Порядок предоставления сведений в Роскомнадзор</w:t>
      </w:r>
    </w:p>
    <w:p w14:paraId="5927D2FB">
      <w:pPr>
        <w:pStyle w:val="4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Предоставление сведений администрацией </w:t>
      </w:r>
      <w:r>
        <w:rPr>
          <w:sz w:val="26"/>
          <w:szCs w:val="26"/>
          <w:lang w:val="ru-RU"/>
        </w:rPr>
        <w:t>Анучинского</w:t>
      </w:r>
      <w:r>
        <w:rPr>
          <w:sz w:val="26"/>
          <w:szCs w:val="26"/>
        </w:rPr>
        <w:t xml:space="preserve"> муниципального округа Приморского края в Роскомнадзор об инцидентах в области ПДн осуществляется в форме направления соответствующих уведомлений. Ответственным должно быть предоставлено в Роскомнадзор:</w:t>
      </w:r>
    </w:p>
    <w:p w14:paraId="67D5D327">
      <w:pPr>
        <w:pStyle w:val="42"/>
        <w:jc w:val="both"/>
        <w:rPr>
          <w:sz w:val="26"/>
          <w:szCs w:val="26"/>
        </w:rPr>
      </w:pPr>
      <w:r>
        <w:rPr>
          <w:sz w:val="26"/>
          <w:szCs w:val="26"/>
        </w:rPr>
        <w:t>В течение двадцати четырёх часов (24 часа) с момента выявления инцидента – уведомление с информацией о произошедшем инциденте (далее – Первичное уведомление).</w:t>
      </w:r>
    </w:p>
    <w:p w14:paraId="1112758F">
      <w:pPr>
        <w:pStyle w:val="42"/>
        <w:jc w:val="both"/>
        <w:rPr>
          <w:sz w:val="26"/>
          <w:szCs w:val="26"/>
        </w:rPr>
      </w:pPr>
      <w:r>
        <w:rPr>
          <w:sz w:val="26"/>
          <w:szCs w:val="26"/>
        </w:rPr>
        <w:t>В течение семидесяти двух часов (72 часа) с момента выявления инцидента – уведомление с информацией о результатах внутреннего расследования выявленного инцидента (далее – Дополнительное уведомление).</w:t>
      </w:r>
    </w:p>
    <w:p w14:paraId="0C34A221">
      <w:pPr>
        <w:pStyle w:val="41"/>
        <w:jc w:val="both"/>
        <w:rPr>
          <w:sz w:val="26"/>
          <w:szCs w:val="26"/>
        </w:rPr>
      </w:pPr>
      <w:r>
        <w:rPr>
          <w:sz w:val="26"/>
          <w:szCs w:val="26"/>
        </w:rPr>
        <w:t>Уведомления направляются в виде документа на бумажном носителе или в форме электронного документа. Решение о способе направления уведомлений принимается Ответственным по каждому инциденту индивидуально.</w:t>
      </w:r>
    </w:p>
    <w:p w14:paraId="5A3C81C9">
      <w:pPr>
        <w:pStyle w:val="41"/>
        <w:jc w:val="both"/>
        <w:rPr>
          <w:sz w:val="26"/>
          <w:szCs w:val="26"/>
        </w:rPr>
      </w:pPr>
      <w:r>
        <w:rPr>
          <w:sz w:val="26"/>
          <w:szCs w:val="26"/>
        </w:rPr>
        <w:t>При принятии решения о направлении уведомления в виде документа на бумажном носителе такое уведомление оформляется и направляется по адресу Роскомнадзора:</w:t>
      </w:r>
    </w:p>
    <w:p w14:paraId="5E4BE5E4">
      <w:pPr>
        <w:pStyle w:val="44"/>
        <w:tabs>
          <w:tab w:val="left" w:pos="1276"/>
        </w:tabs>
        <w:jc w:val="both"/>
        <w:rPr>
          <w:sz w:val="26"/>
          <w:szCs w:val="26"/>
        </w:rPr>
      </w:pPr>
      <w:r>
        <w:rPr>
          <w:sz w:val="26"/>
          <w:szCs w:val="26"/>
        </w:rPr>
        <w:t>по Первичному уведомлению – по форме, представленной в ПРИЛОЖЕНИИ № 1 к настоящему Порядку;</w:t>
      </w:r>
    </w:p>
    <w:p w14:paraId="20BF4EEC">
      <w:pPr>
        <w:pStyle w:val="44"/>
        <w:tabs>
          <w:tab w:val="left" w:pos="1276"/>
        </w:tabs>
        <w:jc w:val="both"/>
        <w:rPr>
          <w:sz w:val="26"/>
          <w:szCs w:val="26"/>
        </w:rPr>
      </w:pPr>
      <w:r>
        <w:rPr>
          <w:sz w:val="26"/>
          <w:szCs w:val="26"/>
        </w:rPr>
        <w:t>по Дополнительному уведомлению – по форме, представленной в ПРИЛОЖЕНИИ № 2 к настоящему Порядку.</w:t>
      </w:r>
    </w:p>
    <w:p w14:paraId="66436735">
      <w:pPr>
        <w:pStyle w:val="4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принятии решения о направлении уведомления в форме электронного документа такое уведомление формируется Ответственным посредством заполнения специализированной формы, размещенной на Портале персональных данных, после прохождения процедуры идентификации и аутентификации посредством ЕСИА и подписывается электронной подписью главы </w:t>
      </w:r>
      <w:r>
        <w:rPr>
          <w:sz w:val="26"/>
          <w:szCs w:val="26"/>
          <w:lang w:val="ru-RU"/>
        </w:rPr>
        <w:t>Анучинского</w:t>
      </w:r>
      <w:r>
        <w:rPr>
          <w:sz w:val="26"/>
          <w:szCs w:val="26"/>
        </w:rPr>
        <w:t xml:space="preserve"> муниципального округа-главы администрации округа в соответствии с </w:t>
      </w:r>
      <w:r>
        <w:rPr>
          <w:sz w:val="26"/>
          <w:szCs w:val="26"/>
        </w:rPr>
        <w:fldChar w:fldCharType="begin"/>
      </w:r>
      <w:r>
        <w:rPr>
          <w:sz w:val="26"/>
          <w:szCs w:val="26"/>
        </w:rPr>
        <w:instrText xml:space="preserve"> HYPERLINK "garantF1://12084522.21" </w:instrText>
      </w:r>
      <w:r>
        <w:rPr>
          <w:sz w:val="26"/>
          <w:szCs w:val="26"/>
        </w:rPr>
        <w:fldChar w:fldCharType="separate"/>
      </w:r>
      <w:r>
        <w:rPr>
          <w:sz w:val="26"/>
          <w:szCs w:val="26"/>
        </w:rPr>
        <w:t>Федеральным законом</w:t>
      </w:r>
      <w:r>
        <w:rPr>
          <w:sz w:val="26"/>
          <w:szCs w:val="26"/>
        </w:rPr>
        <w:fldChar w:fldCharType="end"/>
      </w:r>
      <w:r>
        <w:rPr>
          <w:sz w:val="26"/>
          <w:szCs w:val="26"/>
        </w:rPr>
        <w:t xml:space="preserve"> от 6 апреля 2011 г. № 63-ФЗ «Об электронной подписи».</w:t>
      </w:r>
    </w:p>
    <w:p w14:paraId="42DB544A">
      <w:pPr>
        <w:pStyle w:val="4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Все факты направления уведомлений в Роскомнадзор должны быть зафиксированы в Журнале внешнего информационного взаимодействия </w:t>
      </w:r>
      <w:r>
        <w:rPr>
          <w:rFonts w:cs="Times New Roman CYR"/>
          <w:sz w:val="26"/>
          <w:szCs w:val="26"/>
        </w:rPr>
        <w:t>по инцидентам в области персональных данных</w:t>
      </w:r>
      <w:r>
        <w:rPr>
          <w:sz w:val="26"/>
          <w:szCs w:val="26"/>
        </w:rPr>
        <w:t>. Форма журнала представлена в ПРИЛОЖЕНИИ № 3 к настоящему Порядку.</w:t>
      </w:r>
    </w:p>
    <w:p w14:paraId="733D7445">
      <w:pPr>
        <w:pStyle w:val="41"/>
        <w:jc w:val="both"/>
        <w:rPr>
          <w:sz w:val="26"/>
          <w:szCs w:val="26"/>
        </w:rPr>
      </w:pPr>
      <w:r>
        <w:rPr>
          <w:sz w:val="26"/>
          <w:szCs w:val="26"/>
        </w:rPr>
        <w:t>Первичное уведомление должно содержать:</w:t>
      </w:r>
    </w:p>
    <w:p w14:paraId="17A26FA8">
      <w:pPr>
        <w:pStyle w:val="42"/>
        <w:jc w:val="both"/>
        <w:rPr>
          <w:sz w:val="26"/>
          <w:szCs w:val="26"/>
        </w:rPr>
      </w:pPr>
      <w:r>
        <w:rPr>
          <w:sz w:val="26"/>
          <w:szCs w:val="26"/>
        </w:rPr>
        <w:t>Сведения о произошедшем инциденте:</w:t>
      </w:r>
    </w:p>
    <w:p w14:paraId="4DA24BC9">
      <w:pPr>
        <w:pStyle w:val="44"/>
        <w:tabs>
          <w:tab w:val="left" w:pos="1276"/>
        </w:tabs>
        <w:jc w:val="both"/>
        <w:rPr>
          <w:sz w:val="26"/>
          <w:szCs w:val="26"/>
        </w:rPr>
      </w:pPr>
      <w:r>
        <w:rPr>
          <w:sz w:val="26"/>
          <w:szCs w:val="26"/>
        </w:rPr>
        <w:t>дата и время выявления инцидента;</w:t>
      </w:r>
    </w:p>
    <w:p w14:paraId="664229FF">
      <w:pPr>
        <w:pStyle w:val="44"/>
        <w:tabs>
          <w:tab w:val="left" w:pos="1276"/>
        </w:tabs>
        <w:jc w:val="both"/>
        <w:rPr>
          <w:sz w:val="26"/>
          <w:szCs w:val="26"/>
        </w:rPr>
      </w:pPr>
      <w:r>
        <w:rPr>
          <w:sz w:val="26"/>
          <w:szCs w:val="26"/>
        </w:rPr>
        <w:t>характеристика (характеристики) ПДн (содержание скомпрометированной базы данных, количество содержащихся в ней записей, информация об актуальности скомпрометированной базы данных, период, в течение которого собраны ПДн).</w:t>
      </w:r>
    </w:p>
    <w:p w14:paraId="1351FC86">
      <w:pPr>
        <w:pStyle w:val="42"/>
        <w:jc w:val="both"/>
        <w:rPr>
          <w:sz w:val="26"/>
          <w:szCs w:val="26"/>
        </w:rPr>
      </w:pPr>
      <w:r>
        <w:rPr>
          <w:sz w:val="26"/>
          <w:szCs w:val="26"/>
        </w:rPr>
        <w:t>Сведения о предполагаемых причинах, повлекших нарушение прав субъектов ПДн (предварительные причины неправомерного распространения ПДн, повлекшего нарушение прав субъектов ПДн);</w:t>
      </w:r>
    </w:p>
    <w:p w14:paraId="4B514ED6">
      <w:pPr>
        <w:pStyle w:val="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Сведения о предполагаемом вреде, нанесенном правам субъектов ПДн (результаты предварительной оценки вреда, который может быть нанесен субъектам ПДн, в связи с неправомерным распространением ПДн, а также последствия такого вреда, проведенной в соответствии с </w:t>
      </w:r>
      <w:r>
        <w:rPr>
          <w:sz w:val="26"/>
          <w:szCs w:val="26"/>
        </w:rPr>
        <w:fldChar w:fldCharType="begin"/>
      </w:r>
      <w:r>
        <w:rPr>
          <w:sz w:val="26"/>
          <w:szCs w:val="26"/>
        </w:rPr>
        <w:instrText xml:space="preserve"> HYPERLINK "garantF1://12048567.18115" </w:instrText>
      </w:r>
      <w:r>
        <w:rPr>
          <w:sz w:val="26"/>
          <w:szCs w:val="26"/>
        </w:rPr>
        <w:fldChar w:fldCharType="separate"/>
      </w:r>
      <w:r>
        <w:rPr>
          <w:sz w:val="26"/>
          <w:szCs w:val="26"/>
        </w:rPr>
        <w:t>пунктом 5 части 1 статьи 18.1</w:t>
      </w:r>
      <w:r>
        <w:rPr>
          <w:sz w:val="26"/>
          <w:szCs w:val="26"/>
        </w:rPr>
        <w:fldChar w:fldCharType="end"/>
      </w:r>
      <w:r>
        <w:rPr>
          <w:sz w:val="26"/>
          <w:szCs w:val="26"/>
        </w:rPr>
        <w:t xml:space="preserve"> Федерального закона от 27 июля 2006 г. № 152-ФЗ «О персональных данных»). Степень возможного вреда, который мог быть причинен субъектам ПДн в результате инцидента, определяется на основании Акта оценки вреда, который может быть причинен субъектам ПДн в случае нарушения Федерального закона «О персональных данных», утвержденного главой </w:t>
      </w:r>
      <w:r>
        <w:rPr>
          <w:sz w:val="26"/>
          <w:szCs w:val="26"/>
          <w:lang w:val="ru-RU"/>
        </w:rPr>
        <w:t>Анучинского</w:t>
      </w:r>
      <w:r>
        <w:rPr>
          <w:sz w:val="26"/>
          <w:szCs w:val="26"/>
        </w:rPr>
        <w:t xml:space="preserve"> муниципального округа-главой администрации округа;</w:t>
      </w:r>
    </w:p>
    <w:p w14:paraId="094A3D64">
      <w:pPr>
        <w:pStyle w:val="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Сведения о принятых мерах по устранению последствий соответствующего инцидента (перечень принятых администрацией </w:t>
      </w:r>
      <w:r>
        <w:rPr>
          <w:sz w:val="26"/>
          <w:szCs w:val="26"/>
          <w:lang w:val="ru-RU"/>
        </w:rPr>
        <w:t>Анучинского</w:t>
      </w:r>
      <w:r>
        <w:rPr>
          <w:sz w:val="26"/>
          <w:szCs w:val="26"/>
        </w:rPr>
        <w:t xml:space="preserve"> муниципального округа Приморского края организационных и технических мер по устранению последствий инцидента в соответствии со </w:t>
      </w:r>
      <w:r>
        <w:rPr>
          <w:sz w:val="26"/>
          <w:szCs w:val="26"/>
        </w:rPr>
        <w:fldChar w:fldCharType="begin"/>
      </w:r>
      <w:r>
        <w:rPr>
          <w:sz w:val="26"/>
          <w:szCs w:val="26"/>
        </w:rPr>
        <w:instrText xml:space="preserve"> HYPERLINK "garantF1://12048567.181" </w:instrText>
      </w:r>
      <w:r>
        <w:rPr>
          <w:sz w:val="26"/>
          <w:szCs w:val="26"/>
        </w:rPr>
        <w:fldChar w:fldCharType="separate"/>
      </w:r>
      <w:r>
        <w:rPr>
          <w:sz w:val="26"/>
          <w:szCs w:val="26"/>
        </w:rPr>
        <w:t>статьями 18.1</w:t>
      </w:r>
      <w:r>
        <w:rPr>
          <w:sz w:val="26"/>
          <w:szCs w:val="26"/>
        </w:rPr>
        <w:fldChar w:fldCharType="end"/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fldChar w:fldCharType="begin"/>
      </w:r>
      <w:r>
        <w:rPr>
          <w:sz w:val="26"/>
          <w:szCs w:val="26"/>
        </w:rPr>
        <w:instrText xml:space="preserve"> HYPERLINK "garantF1://12048567.19" </w:instrText>
      </w:r>
      <w:r>
        <w:rPr>
          <w:sz w:val="26"/>
          <w:szCs w:val="26"/>
        </w:rPr>
        <w:fldChar w:fldCharType="separate"/>
      </w:r>
      <w:r>
        <w:rPr>
          <w:sz w:val="26"/>
          <w:szCs w:val="26"/>
        </w:rPr>
        <w:t>19</w:t>
      </w:r>
      <w:r>
        <w:rPr>
          <w:sz w:val="26"/>
          <w:szCs w:val="26"/>
        </w:rPr>
        <w:fldChar w:fldCharType="end"/>
      </w:r>
      <w:r>
        <w:rPr>
          <w:sz w:val="26"/>
          <w:szCs w:val="26"/>
        </w:rPr>
        <w:t xml:space="preserve"> Федерального закона от 27 июля 2006 г. № 152-ФЗ «О персональных данных»);</w:t>
      </w:r>
    </w:p>
    <w:p w14:paraId="0021CA0C">
      <w:pPr>
        <w:pStyle w:val="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Сведения об Ответственном (лице, уполномоченном администрацией </w:t>
      </w:r>
      <w:r>
        <w:rPr>
          <w:sz w:val="26"/>
          <w:szCs w:val="26"/>
          <w:lang w:val="ru-RU"/>
        </w:rPr>
        <w:t>Анучинского</w:t>
      </w:r>
      <w:r>
        <w:rPr>
          <w:sz w:val="26"/>
          <w:szCs w:val="26"/>
        </w:rPr>
        <w:t xml:space="preserve"> муниципального округа Приморского края на взаимодействие с Роскомнадзором по вопросам, связанным с выявленным инцидентом);</w:t>
      </w:r>
    </w:p>
    <w:p w14:paraId="2B50E1FD">
      <w:pPr>
        <w:pStyle w:val="42"/>
        <w:jc w:val="both"/>
        <w:rPr>
          <w:sz w:val="26"/>
          <w:szCs w:val="26"/>
        </w:rPr>
      </w:pPr>
      <w:bookmarkStart w:id="2" w:name="sub_1022"/>
      <w:r>
        <w:rPr>
          <w:sz w:val="26"/>
          <w:szCs w:val="26"/>
        </w:rPr>
        <w:t xml:space="preserve">Данные администрации </w:t>
      </w:r>
      <w:r>
        <w:rPr>
          <w:sz w:val="26"/>
          <w:szCs w:val="26"/>
          <w:lang w:val="ru-RU"/>
        </w:rPr>
        <w:t>Анучинского</w:t>
      </w:r>
      <w:r>
        <w:rPr>
          <w:sz w:val="26"/>
          <w:szCs w:val="26"/>
        </w:rPr>
        <w:t xml:space="preserve"> муниципального округа Приморского края:</w:t>
      </w:r>
    </w:p>
    <w:bookmarkEnd w:id="2"/>
    <w:p w14:paraId="58FA6028">
      <w:pPr>
        <w:pStyle w:val="44"/>
        <w:tabs>
          <w:tab w:val="left" w:pos="1276"/>
        </w:tabs>
        <w:jc w:val="both"/>
        <w:rPr>
          <w:sz w:val="26"/>
          <w:szCs w:val="26"/>
        </w:rPr>
      </w:pPr>
      <w:r>
        <w:rPr>
          <w:sz w:val="26"/>
          <w:szCs w:val="26"/>
        </w:rPr>
        <w:t>полное и сокращенное (при наличии) наименование;</w:t>
      </w:r>
    </w:p>
    <w:p w14:paraId="1847BE11">
      <w:pPr>
        <w:pStyle w:val="44"/>
        <w:tabs>
          <w:tab w:val="left" w:pos="1276"/>
        </w:tabs>
        <w:jc w:val="both"/>
        <w:rPr>
          <w:sz w:val="26"/>
          <w:szCs w:val="26"/>
        </w:rPr>
      </w:pPr>
      <w:r>
        <w:rPr>
          <w:sz w:val="26"/>
          <w:szCs w:val="26"/>
        </w:rPr>
        <w:t>идентификационный номер налогоплательщика;</w:t>
      </w:r>
    </w:p>
    <w:p w14:paraId="13535C5C">
      <w:pPr>
        <w:pStyle w:val="44"/>
        <w:tabs>
          <w:tab w:val="left" w:pos="1276"/>
        </w:tabs>
        <w:jc w:val="both"/>
        <w:rPr>
          <w:sz w:val="26"/>
          <w:szCs w:val="26"/>
        </w:rPr>
      </w:pPr>
      <w:r>
        <w:rPr>
          <w:sz w:val="26"/>
          <w:szCs w:val="26"/>
        </w:rPr>
        <w:t>юридический адрес;</w:t>
      </w:r>
    </w:p>
    <w:p w14:paraId="000AE229">
      <w:pPr>
        <w:pStyle w:val="44"/>
        <w:tabs>
          <w:tab w:val="left" w:pos="1276"/>
        </w:tabs>
        <w:jc w:val="both"/>
        <w:rPr>
          <w:sz w:val="26"/>
          <w:szCs w:val="26"/>
        </w:rPr>
      </w:pPr>
      <w:r>
        <w:rPr>
          <w:sz w:val="26"/>
          <w:szCs w:val="26"/>
        </w:rPr>
        <w:t>адрес электронной почты Ответственного для получения информации о зарегистрированном уведомлении, номера и ключа уведомления;</w:t>
      </w:r>
    </w:p>
    <w:p w14:paraId="3C92DCDE">
      <w:pPr>
        <w:pStyle w:val="42"/>
        <w:jc w:val="both"/>
        <w:rPr>
          <w:sz w:val="26"/>
          <w:szCs w:val="26"/>
        </w:rPr>
      </w:pPr>
      <w:bookmarkStart w:id="3" w:name="sub_1023"/>
      <w:r>
        <w:rPr>
          <w:sz w:val="26"/>
          <w:szCs w:val="26"/>
        </w:rPr>
        <w:t xml:space="preserve">Иные сведения и материалы, находящиеся в распоряжении администрации </w:t>
      </w:r>
      <w:r>
        <w:rPr>
          <w:sz w:val="26"/>
          <w:szCs w:val="26"/>
          <w:lang w:val="ru-RU"/>
        </w:rPr>
        <w:t>Анучинского</w:t>
      </w:r>
      <w:r>
        <w:rPr>
          <w:sz w:val="26"/>
          <w:szCs w:val="26"/>
        </w:rPr>
        <w:t xml:space="preserve"> муниципального округа Приморского края, в том числе об источнике получения информации об инциденте, а также подтверждающие принятие мер по устранению последствий инцидента (при наличии).</w:t>
      </w:r>
    </w:p>
    <w:bookmarkEnd w:id="3"/>
    <w:p w14:paraId="692FFD4D">
      <w:pPr>
        <w:pStyle w:val="41"/>
        <w:jc w:val="both"/>
        <w:rPr>
          <w:sz w:val="26"/>
          <w:szCs w:val="26"/>
        </w:rPr>
      </w:pPr>
      <w:r>
        <w:rPr>
          <w:sz w:val="26"/>
          <w:szCs w:val="26"/>
        </w:rPr>
        <w:t>Дополнительное уведомление должно содержать:</w:t>
      </w:r>
    </w:p>
    <w:p w14:paraId="7115537A">
      <w:pPr>
        <w:pStyle w:val="42"/>
        <w:jc w:val="both"/>
        <w:rPr>
          <w:sz w:val="26"/>
          <w:szCs w:val="26"/>
        </w:rPr>
      </w:pPr>
      <w:r>
        <w:rPr>
          <w:sz w:val="26"/>
          <w:szCs w:val="26"/>
        </w:rPr>
        <w:t>Сведения о Первичном уведомлении (номер и ключ);</w:t>
      </w:r>
    </w:p>
    <w:p w14:paraId="5A306DB9">
      <w:pPr>
        <w:pStyle w:val="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Сведения о результатах внутреннего расследования выявленного инцидента (информация о причинах, повлекших нарушение прав субъектов ПДн, и вреде, нанесенном правам субъектов ПДн, о дополнительно принятых мерах по устранению последствий соответствующего инцидента (при наличии), а также о решении администрации </w:t>
      </w:r>
      <w:r>
        <w:rPr>
          <w:sz w:val="26"/>
          <w:szCs w:val="26"/>
          <w:lang w:val="ru-RU"/>
        </w:rPr>
        <w:t>Анучинского</w:t>
      </w:r>
      <w:r>
        <w:rPr>
          <w:sz w:val="26"/>
          <w:szCs w:val="26"/>
        </w:rPr>
        <w:t xml:space="preserve"> муниципального округа Приморского края о проведении внутреннего расследования с указанием его реквизитов);</w:t>
      </w:r>
    </w:p>
    <w:p w14:paraId="0EEE3C89">
      <w:pPr>
        <w:pStyle w:val="42"/>
        <w:jc w:val="both"/>
        <w:rPr>
          <w:sz w:val="26"/>
          <w:szCs w:val="26"/>
        </w:rPr>
      </w:pPr>
      <w:r>
        <w:rPr>
          <w:sz w:val="26"/>
          <w:szCs w:val="26"/>
        </w:rPr>
        <w:t>Сведения о лицах, действия которых стали причиной выявленного инцидента (при наличии):</w:t>
      </w:r>
    </w:p>
    <w:p w14:paraId="6494FD94">
      <w:pPr>
        <w:pStyle w:val="44"/>
        <w:tabs>
          <w:tab w:val="left" w:pos="1276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фамилия, имя, отчество (при наличии) должностного лица администрации </w:t>
      </w:r>
      <w:r>
        <w:rPr>
          <w:sz w:val="26"/>
          <w:szCs w:val="26"/>
          <w:lang w:val="ru-RU"/>
        </w:rPr>
        <w:t>Анучинского</w:t>
      </w:r>
      <w:r>
        <w:rPr>
          <w:sz w:val="26"/>
          <w:szCs w:val="26"/>
        </w:rPr>
        <w:t xml:space="preserve"> муниципального округа Приморского края с указанием должности или фамилия, имя, отчество (при наличии) индивидуального предпринимателя или полное наименование юридического лица, чьи действия стали причиной выявленного инцидента;</w:t>
      </w:r>
    </w:p>
    <w:p w14:paraId="42D0FE3E">
      <w:pPr>
        <w:pStyle w:val="44"/>
        <w:tabs>
          <w:tab w:val="left" w:pos="1276"/>
        </w:tabs>
        <w:jc w:val="both"/>
        <w:rPr>
          <w:sz w:val="26"/>
          <w:szCs w:val="26"/>
        </w:rPr>
      </w:pPr>
      <w:r>
        <w:rPr>
          <w:sz w:val="26"/>
          <w:szCs w:val="26"/>
        </w:rPr>
        <w:t>IP-адрес компьютера или устройства и его местонахождение (предполагаемое местонахождение, если причиной инцидента стали действия посторонних лиц);</w:t>
      </w:r>
    </w:p>
    <w:p w14:paraId="66B66471">
      <w:pPr>
        <w:pStyle w:val="44"/>
        <w:tabs>
          <w:tab w:val="left" w:pos="1276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иные сведения о выявленном инциденте, имеющиеся в распоряжении администрации </w:t>
      </w:r>
      <w:r>
        <w:rPr>
          <w:sz w:val="26"/>
          <w:szCs w:val="26"/>
          <w:lang w:val="ru-RU"/>
        </w:rPr>
        <w:t>Анучинского</w:t>
      </w:r>
      <w:r>
        <w:rPr>
          <w:sz w:val="26"/>
          <w:szCs w:val="26"/>
        </w:rPr>
        <w:t xml:space="preserve"> муниципального округа Приморского края.</w:t>
      </w:r>
    </w:p>
    <w:p w14:paraId="7E382DAC">
      <w:pPr>
        <w:pStyle w:val="4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Порядок рассмотрения запросов от Роскомнадзора</w:t>
      </w:r>
    </w:p>
    <w:p w14:paraId="4C3D0B88">
      <w:pPr>
        <w:pStyle w:val="41"/>
        <w:jc w:val="both"/>
        <w:rPr>
          <w:sz w:val="26"/>
          <w:szCs w:val="26"/>
        </w:rPr>
      </w:pPr>
      <w:bookmarkStart w:id="4" w:name="sub_1014"/>
      <w:r>
        <w:rPr>
          <w:sz w:val="26"/>
          <w:szCs w:val="26"/>
        </w:rPr>
        <w:t>Настоящий Порядок регламентирует действия Ответственного при получении следующих запросов от Роскомнадзора:</w:t>
      </w:r>
    </w:p>
    <w:p w14:paraId="5CF0378C">
      <w:pPr>
        <w:pStyle w:val="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Запрос на предоставление недостающих сведений и (или) пояснений относительно некорректности в направленных ранее администрацией </w:t>
      </w:r>
      <w:r>
        <w:rPr>
          <w:sz w:val="26"/>
          <w:szCs w:val="26"/>
          <w:lang w:val="ru-RU"/>
        </w:rPr>
        <w:t>Анучинского</w:t>
      </w:r>
      <w:r>
        <w:rPr>
          <w:sz w:val="26"/>
          <w:szCs w:val="26"/>
        </w:rPr>
        <w:t xml:space="preserve"> муниципального округа Приморского края уведомлениях по инцидентам сведений (далее – Требование о пояснении);</w:t>
      </w:r>
    </w:p>
    <w:p w14:paraId="068FD938">
      <w:pPr>
        <w:pStyle w:val="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Запрос с требованием о необходимости предоставления сведений о результатах внутреннего расследования выявленного инцидента (далее – Требование о предоставлении сведений), если такие сведения не были предоставлены администрацией </w:t>
      </w:r>
      <w:r>
        <w:rPr>
          <w:sz w:val="26"/>
          <w:szCs w:val="26"/>
          <w:lang w:val="ru-RU"/>
        </w:rPr>
        <w:t>Анучинского</w:t>
      </w:r>
      <w:r>
        <w:rPr>
          <w:sz w:val="26"/>
          <w:szCs w:val="26"/>
        </w:rPr>
        <w:t xml:space="preserve"> муниципального округа Приморского края согласно пункту 2.1.2 настоящего Порядка;</w:t>
      </w:r>
    </w:p>
    <w:p w14:paraId="578CE746">
      <w:pPr>
        <w:pStyle w:val="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Запрос с требованием о предоставлении сведений по инциденту, сведения о котором не были предоставлены администрацией </w:t>
      </w:r>
      <w:r>
        <w:rPr>
          <w:sz w:val="26"/>
          <w:szCs w:val="26"/>
          <w:lang w:val="ru-RU"/>
        </w:rPr>
        <w:t>Анучинского</w:t>
      </w:r>
      <w:r>
        <w:rPr>
          <w:sz w:val="26"/>
          <w:szCs w:val="26"/>
        </w:rPr>
        <w:t xml:space="preserve"> муниципального округа Приморского края (далее – Требование о предоставлении уведомления).</w:t>
      </w:r>
    </w:p>
    <w:p w14:paraId="53914F88">
      <w:pPr>
        <w:pStyle w:val="4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Требование о пояснении направляется Роскомнадзором на адрес электронный почты, указанный в Первичном уведомлении. При получении администрацией </w:t>
      </w:r>
      <w:r>
        <w:rPr>
          <w:sz w:val="26"/>
          <w:szCs w:val="26"/>
          <w:lang w:val="ru-RU"/>
        </w:rPr>
        <w:t>Анучинского</w:t>
      </w:r>
      <w:r>
        <w:rPr>
          <w:sz w:val="26"/>
          <w:szCs w:val="26"/>
        </w:rPr>
        <w:t xml:space="preserve"> муниципального округа Приморского края Требования о пояснении Ответственный должен в течение трех рабочих дней со дня получения такого требования сформировать ответ и направить в Роскомнадзор одним из способов, указанных в пункте 2.2 настоящего Порядка.</w:t>
      </w:r>
    </w:p>
    <w:p w14:paraId="08A4EBDA">
      <w:pPr>
        <w:pStyle w:val="4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Требование о предоставлении сведений направляется Роскомнадзором в случае нарушения сроков предоставления Дополнительного уведомления. При получении администрацией </w:t>
      </w:r>
      <w:r>
        <w:rPr>
          <w:sz w:val="26"/>
          <w:szCs w:val="26"/>
          <w:lang w:val="ru-RU"/>
        </w:rPr>
        <w:t>Анучинского</w:t>
      </w:r>
      <w:r>
        <w:rPr>
          <w:sz w:val="26"/>
          <w:szCs w:val="26"/>
        </w:rPr>
        <w:t xml:space="preserve"> муниципального округа Приморского края Требования о предоставлении сведений Ответственный должен в течение одного рабочего дня со дня получения такого требования сформировать ответ и направить в Роскомнадзор одним из способов, указанных в пункте 2.2 настоящего Порядка.</w:t>
      </w:r>
    </w:p>
    <w:bookmarkEnd w:id="4"/>
    <w:p w14:paraId="39F8BCB3">
      <w:pPr>
        <w:pStyle w:val="41"/>
        <w:jc w:val="both"/>
        <w:rPr>
          <w:sz w:val="26"/>
          <w:szCs w:val="26"/>
        </w:rPr>
      </w:pPr>
      <w:bookmarkStart w:id="5" w:name="sub_1015"/>
      <w:r>
        <w:rPr>
          <w:sz w:val="26"/>
          <w:szCs w:val="26"/>
        </w:rPr>
        <w:t xml:space="preserve">Требование о предоставлении уведомления направляется Роскомнадзором в случае выявления им факта неправомерного распространения скомпрометированной базы данных, содержание которой указывает на ее принадлежность администрации </w:t>
      </w:r>
      <w:r>
        <w:rPr>
          <w:sz w:val="26"/>
          <w:szCs w:val="26"/>
          <w:lang w:val="ru-RU"/>
        </w:rPr>
        <w:t>Анучинского</w:t>
      </w:r>
      <w:r>
        <w:rPr>
          <w:sz w:val="26"/>
          <w:szCs w:val="26"/>
        </w:rPr>
        <w:t xml:space="preserve"> муниципального округа Приморского края. При получении администрацией</w:t>
      </w:r>
      <w:r>
        <w:rPr>
          <w:rFonts w:hint="default"/>
          <w:sz w:val="26"/>
          <w:szCs w:val="26"/>
          <w:lang w:val="ru-RU"/>
        </w:rPr>
        <w:t xml:space="preserve"> Анучинского</w:t>
      </w:r>
      <w:r>
        <w:rPr>
          <w:sz w:val="26"/>
          <w:szCs w:val="26"/>
        </w:rPr>
        <w:t xml:space="preserve"> муниципального округа Приморского края Требования о предоставлении уведомления Ответственный должен:</w:t>
      </w:r>
    </w:p>
    <w:p w14:paraId="166BE2D7">
      <w:pPr>
        <w:pStyle w:val="42"/>
        <w:jc w:val="both"/>
        <w:rPr>
          <w:sz w:val="26"/>
          <w:szCs w:val="26"/>
        </w:rPr>
      </w:pPr>
      <w:r>
        <w:rPr>
          <w:sz w:val="26"/>
          <w:szCs w:val="26"/>
        </w:rPr>
        <w:t>В течение 24 часов с момента получения требования направить Первичное уведомление одним из способов, указанных в пункте 2.2 настоящего Порядка;</w:t>
      </w:r>
    </w:p>
    <w:p w14:paraId="43EA1458">
      <w:pPr>
        <w:pStyle w:val="42"/>
        <w:jc w:val="both"/>
        <w:rPr>
          <w:sz w:val="26"/>
          <w:szCs w:val="26"/>
        </w:rPr>
      </w:pPr>
      <w:r>
        <w:rPr>
          <w:sz w:val="26"/>
          <w:szCs w:val="26"/>
        </w:rPr>
        <w:t>В течение 72 часов провести внутреннее расследование по Требованию о предоставлении уведомления и оформить результаты расследования в виде акта, подтверждающего факт инцидента или подтверждающего отсутствие факта инцидента. Форма акта о проведении внутреннего расследования представлена в ПРИЛОЖЕНИИ № 4 к настоящему Порядку;</w:t>
      </w:r>
    </w:p>
    <w:p w14:paraId="061B3D54">
      <w:pPr>
        <w:pStyle w:val="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течение 72 часов с момента получения Требования о предоставлении уведомления направить Дополнительное уведомление одним из способов, представленных в пункте 2.2 настоящего Порядка. К Дополнительному уведомлению должна быть приложена сканированная копия акта о проведении внутреннего расследования, подписанная главой </w:t>
      </w:r>
      <w:r>
        <w:rPr>
          <w:sz w:val="26"/>
          <w:szCs w:val="26"/>
          <w:lang w:val="ru-RU"/>
        </w:rPr>
        <w:t>Анучинского</w:t>
      </w:r>
      <w:r>
        <w:rPr>
          <w:sz w:val="26"/>
          <w:szCs w:val="26"/>
        </w:rPr>
        <w:t xml:space="preserve"> муниципального округа-главой администрации округа.</w:t>
      </w:r>
    </w:p>
    <w:p w14:paraId="5E0C6C52">
      <w:pPr>
        <w:pStyle w:val="4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Все факты направления уведомлений в ответ на запросы Роскомнадзора должны быть зафиксированы в Журнале внешнего информационного взаимодействия </w:t>
      </w:r>
      <w:r>
        <w:rPr>
          <w:rFonts w:cs="Times New Roman CYR"/>
          <w:sz w:val="26"/>
          <w:szCs w:val="26"/>
        </w:rPr>
        <w:t>по инцидентам в области персональных данных</w:t>
      </w:r>
      <w:r>
        <w:rPr>
          <w:sz w:val="26"/>
          <w:szCs w:val="26"/>
        </w:rPr>
        <w:t>.</w:t>
      </w:r>
    </w:p>
    <w:bookmarkEnd w:id="5"/>
    <w:p w14:paraId="1DA47775">
      <w:pPr>
        <w:pStyle w:val="4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Порядок предоставления сведений в ГосСОПКА</w:t>
      </w:r>
    </w:p>
    <w:p w14:paraId="49878C09">
      <w:pPr>
        <w:pStyle w:val="4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Взаимодействие администрации </w:t>
      </w:r>
      <w:r>
        <w:rPr>
          <w:sz w:val="26"/>
          <w:szCs w:val="26"/>
          <w:lang w:val="ru-RU"/>
        </w:rPr>
        <w:t>Анучинского</w:t>
      </w:r>
      <w:r>
        <w:rPr>
          <w:sz w:val="26"/>
          <w:szCs w:val="26"/>
        </w:rPr>
        <w:t xml:space="preserve"> муниципального округа Приморского края с ГосСОПКА, включая информирование ФСБ России о компьютерных инцидентах, повлекших неправомерную передачу (предоставление, распространение, доступ) ПДн, осуществляется через НКЦКИ.</w:t>
      </w:r>
    </w:p>
    <w:p w14:paraId="70140883">
      <w:pPr>
        <w:pStyle w:val="4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администрация </w:t>
      </w:r>
      <w:r>
        <w:rPr>
          <w:sz w:val="26"/>
          <w:szCs w:val="26"/>
          <w:lang w:val="ru-RU"/>
        </w:rPr>
        <w:t>Анучинского</w:t>
      </w:r>
      <w:r>
        <w:rPr>
          <w:sz w:val="26"/>
          <w:szCs w:val="26"/>
        </w:rPr>
        <w:t xml:space="preserve"> муниципального округа Приморского края направляет информацию о компьютерных инцидентах, повлекших неправомерную передачу (предоставление, распространение, доступ) персональных данных, путем подачи уведомлений согласно разделу 2 настоящего Порядка. Дальнейшая передача информации о компьютерных инцидентах в НКЦКИ на ответственности Роскомнадзора в соответствии с частью 11 статьи 23 Федерального закона от 27 июля 2006 г. № 152-ФЗ «О персональных данных».</w:t>
      </w:r>
    </w:p>
    <w:p w14:paraId="4B978239">
      <w:pPr>
        <w:pStyle w:val="4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Подтверждением передачи администрацией </w:t>
      </w:r>
      <w:r>
        <w:rPr>
          <w:sz w:val="26"/>
          <w:szCs w:val="26"/>
          <w:lang w:val="ru-RU"/>
        </w:rPr>
        <w:t>Анучинского</w:t>
      </w:r>
      <w:r>
        <w:rPr>
          <w:sz w:val="26"/>
          <w:szCs w:val="26"/>
        </w:rPr>
        <w:t xml:space="preserve"> муниципального округа Приморского края в НКЦКИ информации о компьютерных инцидентах является присвоение НКЦКИ компьютерным инцидентам идентификаторов. Идентификаторы направляются НКЦКИ администрации </w:t>
      </w:r>
      <w:r>
        <w:rPr>
          <w:sz w:val="26"/>
          <w:szCs w:val="26"/>
          <w:lang w:val="ru-RU"/>
        </w:rPr>
        <w:t>Анучинского</w:t>
      </w:r>
      <w:r>
        <w:rPr>
          <w:sz w:val="26"/>
          <w:szCs w:val="26"/>
        </w:rPr>
        <w:t xml:space="preserve"> муниципального округа Приморского края в течение 24 часов с момента их присвоения по тем же каналам, по которым сведения о компьютерном инциденте были направлены.</w:t>
      </w:r>
    </w:p>
    <w:p w14:paraId="0E6BAFA2">
      <w:pPr>
        <w:pStyle w:val="4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Рассмотрение запросов от НКЦКИ</w:t>
      </w:r>
    </w:p>
    <w:p w14:paraId="543D950B">
      <w:pPr>
        <w:pStyle w:val="41"/>
        <w:jc w:val="both"/>
        <w:rPr>
          <w:sz w:val="26"/>
          <w:szCs w:val="26"/>
        </w:rPr>
      </w:pPr>
      <w:r>
        <w:rPr>
          <w:sz w:val="26"/>
          <w:szCs w:val="26"/>
        </w:rPr>
        <w:t>При получении от НКЦКИ запроса о проверке сведений о компьютерном инциденте, повлекшем неправомерную передачу (предоставление, распространение, доступ) ПДн, Ответственный должен в течение 24 часов с момента получения запроса подготовить ответ на запрос и направить его в НКЦКИ по тем же каналам, по которым запрос был получен (информировать НКЦКИ о результатах проверки).</w:t>
      </w:r>
    </w:p>
    <w:p w14:paraId="598BB3DE">
      <w:pPr>
        <w:pStyle w:val="4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Ответственность</w:t>
      </w:r>
    </w:p>
    <w:p w14:paraId="5F802290">
      <w:pPr>
        <w:pStyle w:val="41"/>
        <w:jc w:val="both"/>
        <w:rPr>
          <w:sz w:val="26"/>
          <w:szCs w:val="26"/>
        </w:rPr>
        <w:sectPr>
          <w:pgSz w:w="11906" w:h="16838"/>
          <w:pgMar w:top="1134" w:right="851" w:bottom="1134" w:left="1418" w:header="709" w:footer="709" w:gutter="0"/>
          <w:pgNumType w:start="2"/>
          <w:cols w:space="708" w:num="1"/>
          <w:docGrid w:linePitch="381" w:charSpace="0"/>
        </w:sectPr>
      </w:pPr>
      <w:r>
        <w:rPr>
          <w:sz w:val="26"/>
          <w:szCs w:val="26"/>
        </w:rPr>
        <w:t>Ответственный несет персональную ответственность за ненадлежащее исполнение или неисполнение положений, предусмотренных настоящим Порядком.</w:t>
      </w:r>
      <w:bookmarkEnd w:id="1"/>
    </w:p>
    <w:p w14:paraId="51BAE320">
      <w:pPr>
        <w:pStyle w:val="37"/>
        <w:ind w:left="4536"/>
        <w:jc w:val="center"/>
        <w:rPr>
          <w:rFonts w:eastAsia="Calibri"/>
        </w:rPr>
      </w:pPr>
      <w:r>
        <w:rPr>
          <w:rFonts w:eastAsia="Calibri"/>
        </w:rPr>
        <w:t>Приложение № 1</w:t>
      </w:r>
    </w:p>
    <w:p w14:paraId="09A82349">
      <w:pPr>
        <w:pStyle w:val="37"/>
        <w:ind w:left="4536"/>
        <w:jc w:val="center"/>
      </w:pPr>
      <w:r>
        <w:t>к Порядку внешнего информационного взаимодействия по инцидентам в области персональных данных</w:t>
      </w:r>
    </w:p>
    <w:p w14:paraId="125E6723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</w:p>
    <w:p w14:paraId="4AA7655C">
      <w:pPr>
        <w:spacing w:line="240" w:lineRule="auto"/>
        <w:jc w:val="center"/>
        <w:rPr>
          <w:rFonts w:eastAsia="Calibri"/>
          <w:b/>
          <w:sz w:val="24"/>
          <w:lang w:eastAsia="en-US"/>
        </w:rPr>
      </w:pPr>
      <w:r>
        <w:rPr>
          <w:rFonts w:eastAsia="Calibri"/>
          <w:b/>
          <w:sz w:val="24"/>
          <w:lang w:eastAsia="en-US"/>
        </w:rPr>
        <w:t xml:space="preserve">Форма первичного уведомления об инциденте </w:t>
      </w:r>
    </w:p>
    <w:p w14:paraId="12E84461">
      <w:pPr>
        <w:spacing w:line="240" w:lineRule="auto"/>
        <w:jc w:val="center"/>
        <w:rPr>
          <w:rFonts w:eastAsia="Calibri"/>
          <w:b/>
          <w:sz w:val="24"/>
          <w:lang w:eastAsia="en-US"/>
        </w:rPr>
      </w:pPr>
      <w:r>
        <w:rPr>
          <w:rFonts w:eastAsia="Calibri"/>
          <w:b/>
          <w:sz w:val="24"/>
          <w:lang w:eastAsia="en-US"/>
        </w:rPr>
        <w:t>(на бумажном носителе)</w:t>
      </w:r>
    </w:p>
    <w:p w14:paraId="7393FB6D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2"/>
      </w:tblGrid>
      <w:tr w14:paraId="1291C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44" w:type="dxa"/>
            <w:gridSpan w:val="2"/>
          </w:tcPr>
          <w:p w14:paraId="0F217BA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 об операторе</w:t>
            </w:r>
          </w:p>
        </w:tc>
      </w:tr>
      <w:tr w14:paraId="09E5E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7E98940A">
            <w:pPr>
              <w:rPr>
                <w:sz w:val="24"/>
              </w:rPr>
            </w:pPr>
            <w:r>
              <w:rPr>
                <w:sz w:val="24"/>
              </w:rPr>
              <w:t>Наименование оператора</w:t>
            </w:r>
          </w:p>
        </w:tc>
        <w:tc>
          <w:tcPr>
            <w:tcW w:w="4672" w:type="dxa"/>
          </w:tcPr>
          <w:p w14:paraId="3E742CC2">
            <w:pPr>
              <w:rPr>
                <w:sz w:val="24"/>
              </w:rPr>
            </w:pPr>
          </w:p>
        </w:tc>
      </w:tr>
      <w:tr w14:paraId="6413F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53284771">
            <w:pPr>
              <w:rPr>
                <w:sz w:val="24"/>
              </w:rPr>
            </w:pPr>
            <w:r>
              <w:rPr>
                <w:sz w:val="24"/>
              </w:rPr>
              <w:t>ИНН</w:t>
            </w:r>
          </w:p>
        </w:tc>
        <w:tc>
          <w:tcPr>
            <w:tcW w:w="4672" w:type="dxa"/>
          </w:tcPr>
          <w:p w14:paraId="4B49AA38">
            <w:pPr>
              <w:rPr>
                <w:sz w:val="24"/>
              </w:rPr>
            </w:pPr>
          </w:p>
        </w:tc>
      </w:tr>
      <w:tr w14:paraId="37A17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6DDC424E">
            <w:pPr>
              <w:rPr>
                <w:sz w:val="24"/>
                <w:lang w:val="en-US"/>
              </w:rPr>
            </w:pPr>
            <w:r>
              <w:rPr>
                <w:sz w:val="24"/>
              </w:rPr>
              <w:t>Адрес оператора</w:t>
            </w:r>
          </w:p>
        </w:tc>
        <w:tc>
          <w:tcPr>
            <w:tcW w:w="4672" w:type="dxa"/>
          </w:tcPr>
          <w:p w14:paraId="35E89B7B">
            <w:pPr>
              <w:rPr>
                <w:sz w:val="24"/>
              </w:rPr>
            </w:pPr>
          </w:p>
        </w:tc>
      </w:tr>
      <w:tr w14:paraId="18749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491CF0F1">
            <w:pPr>
              <w:rPr>
                <w:sz w:val="24"/>
              </w:rPr>
            </w:pPr>
            <w:r>
              <w:rPr>
                <w:sz w:val="24"/>
              </w:rPr>
              <w:t>Адрес электронной почты для отправки информации об уведомлении</w:t>
            </w:r>
          </w:p>
        </w:tc>
        <w:tc>
          <w:tcPr>
            <w:tcW w:w="4672" w:type="dxa"/>
          </w:tcPr>
          <w:p w14:paraId="76543B51">
            <w:pPr>
              <w:rPr>
                <w:sz w:val="24"/>
              </w:rPr>
            </w:pPr>
          </w:p>
        </w:tc>
      </w:tr>
      <w:tr w14:paraId="794F7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44" w:type="dxa"/>
            <w:gridSpan w:val="2"/>
          </w:tcPr>
          <w:p w14:paraId="4BC2554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 об инциденте</w:t>
            </w:r>
          </w:p>
        </w:tc>
      </w:tr>
      <w:tr w14:paraId="2492A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78817B7D">
            <w:pPr>
              <w:rPr>
                <w:sz w:val="24"/>
              </w:rPr>
            </w:pPr>
            <w:r>
              <w:rPr>
                <w:sz w:val="24"/>
              </w:rPr>
              <w:t>Дата и время выявления инцидента</w:t>
            </w:r>
          </w:p>
        </w:tc>
        <w:tc>
          <w:tcPr>
            <w:tcW w:w="4672" w:type="dxa"/>
          </w:tcPr>
          <w:p w14:paraId="1A6B61C6">
            <w:pPr>
              <w:rPr>
                <w:sz w:val="24"/>
              </w:rPr>
            </w:pPr>
          </w:p>
        </w:tc>
      </w:tr>
      <w:tr w14:paraId="39348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672" w:type="dxa"/>
          </w:tcPr>
          <w:p w14:paraId="29923BEB">
            <w:pPr>
              <w:rPr>
                <w:sz w:val="24"/>
              </w:rPr>
            </w:pPr>
            <w:r>
              <w:rPr>
                <w:sz w:val="24"/>
              </w:rPr>
              <w:t>Предполагаемые причины, повлекшие нарушение прав субъектов ПДн</w:t>
            </w:r>
          </w:p>
        </w:tc>
        <w:tc>
          <w:tcPr>
            <w:tcW w:w="4672" w:type="dxa"/>
          </w:tcPr>
          <w:p w14:paraId="6A116AA1">
            <w:pPr>
              <w:rPr>
                <w:sz w:val="24"/>
              </w:rPr>
            </w:pPr>
          </w:p>
        </w:tc>
      </w:tr>
      <w:tr w14:paraId="00016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304CF4C3">
            <w:pPr>
              <w:rPr>
                <w:sz w:val="24"/>
              </w:rPr>
            </w:pPr>
            <w:r>
              <w:rPr>
                <w:sz w:val="24"/>
              </w:rPr>
              <w:t>Характеристики ПДн</w:t>
            </w:r>
          </w:p>
        </w:tc>
        <w:tc>
          <w:tcPr>
            <w:tcW w:w="4672" w:type="dxa"/>
          </w:tcPr>
          <w:p w14:paraId="1356B243">
            <w:pPr>
              <w:rPr>
                <w:sz w:val="24"/>
              </w:rPr>
            </w:pPr>
          </w:p>
        </w:tc>
      </w:tr>
      <w:tr w14:paraId="434DD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516009F1">
            <w:pPr>
              <w:rPr>
                <w:sz w:val="24"/>
              </w:rPr>
            </w:pPr>
            <w:r>
              <w:rPr>
                <w:sz w:val="24"/>
              </w:rPr>
              <w:t>Предполагаемый вред, нанесенный правам субъектов ПДн</w:t>
            </w:r>
          </w:p>
        </w:tc>
        <w:tc>
          <w:tcPr>
            <w:tcW w:w="4672" w:type="dxa"/>
          </w:tcPr>
          <w:p w14:paraId="6C6A4109">
            <w:pPr>
              <w:rPr>
                <w:sz w:val="24"/>
              </w:rPr>
            </w:pPr>
          </w:p>
        </w:tc>
      </w:tr>
      <w:tr w14:paraId="6B3C6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1D9138C3">
            <w:pPr>
              <w:rPr>
                <w:sz w:val="24"/>
              </w:rPr>
            </w:pPr>
            <w:r>
              <w:rPr>
                <w:sz w:val="24"/>
              </w:rPr>
              <w:t>Принятые меры по устранению последствий инцидента</w:t>
            </w:r>
          </w:p>
        </w:tc>
        <w:tc>
          <w:tcPr>
            <w:tcW w:w="4672" w:type="dxa"/>
          </w:tcPr>
          <w:p w14:paraId="673B5BC4">
            <w:pPr>
              <w:rPr>
                <w:sz w:val="24"/>
              </w:rPr>
            </w:pPr>
          </w:p>
        </w:tc>
      </w:tr>
      <w:tr w14:paraId="2580B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06537541">
            <w:pPr>
              <w:rPr>
                <w:sz w:val="24"/>
              </w:rPr>
            </w:pPr>
            <w:r>
              <w:rPr>
                <w:sz w:val="24"/>
              </w:rPr>
              <w:t>Дополнительные сведения</w:t>
            </w:r>
          </w:p>
        </w:tc>
        <w:tc>
          <w:tcPr>
            <w:tcW w:w="4672" w:type="dxa"/>
          </w:tcPr>
          <w:p w14:paraId="4AC5E8CC">
            <w:pPr>
              <w:rPr>
                <w:sz w:val="24"/>
              </w:rPr>
            </w:pPr>
          </w:p>
        </w:tc>
      </w:tr>
      <w:tr w14:paraId="752B1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44" w:type="dxa"/>
            <w:gridSpan w:val="2"/>
          </w:tcPr>
          <w:p w14:paraId="5708517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Контактные данные</w:t>
            </w:r>
          </w:p>
        </w:tc>
      </w:tr>
      <w:tr w14:paraId="49C32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10CDE2B9">
            <w:pPr>
              <w:rPr>
                <w:sz w:val="24"/>
              </w:rPr>
            </w:pPr>
            <w:r>
              <w:rPr>
                <w:sz w:val="24"/>
              </w:rPr>
              <w:t>ФИО лица, уполномоченного оператором на взаимодействие с Роскомнадзором по инциденту</w:t>
            </w:r>
          </w:p>
        </w:tc>
        <w:tc>
          <w:tcPr>
            <w:tcW w:w="4672" w:type="dxa"/>
          </w:tcPr>
          <w:p w14:paraId="457F8FF9">
            <w:pPr>
              <w:rPr>
                <w:sz w:val="24"/>
              </w:rPr>
            </w:pPr>
          </w:p>
        </w:tc>
      </w:tr>
      <w:tr w14:paraId="77E9F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672" w:type="dxa"/>
          </w:tcPr>
          <w:p w14:paraId="5F10C9B8">
            <w:pPr>
              <w:rPr>
                <w:sz w:val="24"/>
              </w:rPr>
            </w:pPr>
            <w:r>
              <w:rPr>
                <w:sz w:val="24"/>
              </w:rPr>
              <w:t>Контактные данные лица, уполномоченного на взаимодействие</w:t>
            </w:r>
          </w:p>
        </w:tc>
        <w:tc>
          <w:tcPr>
            <w:tcW w:w="4672" w:type="dxa"/>
          </w:tcPr>
          <w:p w14:paraId="22176E2A">
            <w:pPr>
              <w:rPr>
                <w:sz w:val="24"/>
              </w:rPr>
            </w:pPr>
          </w:p>
        </w:tc>
      </w:tr>
      <w:tr w14:paraId="1DAD7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44" w:type="dxa"/>
            <w:gridSpan w:val="2"/>
          </w:tcPr>
          <w:p w14:paraId="66CE916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 внутреннего расследования*</w:t>
            </w:r>
          </w:p>
        </w:tc>
      </w:tr>
      <w:tr w14:paraId="7E2FA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2213BCF8">
            <w:pPr>
              <w:rPr>
                <w:sz w:val="24"/>
              </w:rPr>
            </w:pPr>
            <w:r>
              <w:rPr>
                <w:sz w:val="24"/>
              </w:rPr>
              <w:t>Результаты внутреннего расследования инцидента</w:t>
            </w:r>
          </w:p>
        </w:tc>
        <w:tc>
          <w:tcPr>
            <w:tcW w:w="4672" w:type="dxa"/>
          </w:tcPr>
          <w:p w14:paraId="6A454331">
            <w:pPr>
              <w:rPr>
                <w:sz w:val="24"/>
              </w:rPr>
            </w:pPr>
          </w:p>
        </w:tc>
      </w:tr>
      <w:tr w14:paraId="3CA79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05D2711E">
            <w:pPr>
              <w:rPr>
                <w:sz w:val="24"/>
              </w:rPr>
            </w:pPr>
            <w:r>
              <w:rPr>
                <w:sz w:val="24"/>
              </w:rPr>
              <w:t>Сведения о лицах, действия которых стали причиной инцидента</w:t>
            </w:r>
          </w:p>
        </w:tc>
        <w:tc>
          <w:tcPr>
            <w:tcW w:w="4672" w:type="dxa"/>
          </w:tcPr>
          <w:p w14:paraId="754A40DF">
            <w:pPr>
              <w:rPr>
                <w:sz w:val="24"/>
              </w:rPr>
            </w:pPr>
          </w:p>
        </w:tc>
      </w:tr>
    </w:tbl>
    <w:p w14:paraId="040A7537">
      <w:pPr>
        <w:spacing w:line="240" w:lineRule="auto"/>
        <w:jc w:val="left"/>
        <w:rPr>
          <w:rFonts w:eastAsia="Calibri"/>
          <w:sz w:val="24"/>
          <w:lang w:eastAsia="en-US"/>
        </w:rPr>
      </w:pPr>
    </w:p>
    <w:p w14:paraId="203F7C46">
      <w:pPr>
        <w:spacing w:line="240" w:lineRule="auto"/>
        <w:rPr>
          <w:rFonts w:eastAsia="Calibri"/>
          <w:sz w:val="20"/>
          <w:lang w:eastAsia="en-US"/>
        </w:rPr>
        <w:sectPr>
          <w:pgSz w:w="11906" w:h="16838"/>
          <w:pgMar w:top="1134" w:right="567" w:bottom="1134" w:left="1418" w:header="709" w:footer="709" w:gutter="0"/>
          <w:pgNumType w:start="1"/>
          <w:cols w:space="708" w:num="1"/>
          <w:titlePg/>
          <w:docGrid w:linePitch="381" w:charSpace="0"/>
        </w:sectPr>
      </w:pPr>
      <w:r>
        <w:rPr>
          <w:rFonts w:eastAsia="Calibri"/>
          <w:sz w:val="20"/>
          <w:lang w:eastAsia="en-US"/>
        </w:rPr>
        <w:t>* указывается в случае, если на момент формирования Первичного уведомления имеются сведения о результатах внутреннего расследования по выявленному инциденту</w:t>
      </w:r>
    </w:p>
    <w:p w14:paraId="3E8F533C">
      <w:pPr>
        <w:pStyle w:val="37"/>
        <w:ind w:left="4536"/>
        <w:jc w:val="center"/>
        <w:rPr>
          <w:rFonts w:eastAsia="Calibri"/>
        </w:rPr>
      </w:pPr>
      <w:r>
        <w:rPr>
          <w:rFonts w:eastAsia="Calibri"/>
        </w:rPr>
        <w:t>Приложение № 2</w:t>
      </w:r>
    </w:p>
    <w:p w14:paraId="1B78FB6B">
      <w:pPr>
        <w:pStyle w:val="37"/>
        <w:ind w:left="4536"/>
        <w:jc w:val="center"/>
      </w:pPr>
      <w:r>
        <w:t>к Порядку внешнего информационного взаимодействия по инцидентам в области персональных данных</w:t>
      </w:r>
    </w:p>
    <w:p w14:paraId="0B51EA74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</w:p>
    <w:p w14:paraId="609C088E">
      <w:pPr>
        <w:spacing w:line="240" w:lineRule="auto"/>
        <w:jc w:val="center"/>
        <w:rPr>
          <w:rFonts w:eastAsia="Calibri"/>
          <w:b/>
          <w:sz w:val="24"/>
          <w:lang w:eastAsia="en-US"/>
        </w:rPr>
      </w:pPr>
      <w:r>
        <w:rPr>
          <w:rFonts w:eastAsia="Calibri"/>
          <w:b/>
          <w:sz w:val="24"/>
          <w:lang w:eastAsia="en-US"/>
        </w:rPr>
        <w:t>Форма дополнительного уведомления об инциденте</w:t>
      </w:r>
    </w:p>
    <w:p w14:paraId="5D011410">
      <w:pPr>
        <w:spacing w:line="240" w:lineRule="auto"/>
        <w:jc w:val="center"/>
        <w:rPr>
          <w:rFonts w:eastAsia="Calibri"/>
          <w:b/>
          <w:sz w:val="24"/>
          <w:lang w:eastAsia="en-US"/>
        </w:rPr>
      </w:pPr>
      <w:r>
        <w:rPr>
          <w:rFonts w:eastAsia="Calibri"/>
          <w:b/>
          <w:sz w:val="24"/>
          <w:lang w:eastAsia="en-US"/>
        </w:rPr>
        <w:t>(на бумажном носителе)</w:t>
      </w:r>
    </w:p>
    <w:p w14:paraId="0D6B99E9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2"/>
      </w:tblGrid>
      <w:tr w14:paraId="2BBB0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44" w:type="dxa"/>
            <w:gridSpan w:val="2"/>
          </w:tcPr>
          <w:p w14:paraId="73FC28E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 об операторе</w:t>
            </w:r>
          </w:p>
        </w:tc>
      </w:tr>
      <w:tr w14:paraId="7C45E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424F523C">
            <w:pPr>
              <w:rPr>
                <w:sz w:val="24"/>
              </w:rPr>
            </w:pPr>
            <w:r>
              <w:rPr>
                <w:sz w:val="24"/>
              </w:rPr>
              <w:t>Наименование оператора</w:t>
            </w:r>
          </w:p>
        </w:tc>
        <w:tc>
          <w:tcPr>
            <w:tcW w:w="4672" w:type="dxa"/>
          </w:tcPr>
          <w:p w14:paraId="7812975E">
            <w:pPr>
              <w:rPr>
                <w:sz w:val="24"/>
              </w:rPr>
            </w:pPr>
          </w:p>
        </w:tc>
      </w:tr>
      <w:tr w14:paraId="56A8E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21B921E9">
            <w:pPr>
              <w:rPr>
                <w:sz w:val="24"/>
              </w:rPr>
            </w:pPr>
            <w:r>
              <w:rPr>
                <w:sz w:val="24"/>
              </w:rPr>
              <w:t>ИНН</w:t>
            </w:r>
          </w:p>
        </w:tc>
        <w:tc>
          <w:tcPr>
            <w:tcW w:w="4672" w:type="dxa"/>
          </w:tcPr>
          <w:p w14:paraId="5656AFF3">
            <w:pPr>
              <w:rPr>
                <w:sz w:val="24"/>
              </w:rPr>
            </w:pPr>
          </w:p>
        </w:tc>
      </w:tr>
      <w:tr w14:paraId="037C4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27F238D2">
            <w:pPr>
              <w:rPr>
                <w:sz w:val="24"/>
              </w:rPr>
            </w:pPr>
            <w:r>
              <w:rPr>
                <w:sz w:val="24"/>
              </w:rPr>
              <w:t>Адрес оператора</w:t>
            </w:r>
          </w:p>
        </w:tc>
        <w:tc>
          <w:tcPr>
            <w:tcW w:w="4672" w:type="dxa"/>
          </w:tcPr>
          <w:p w14:paraId="127A9394">
            <w:pPr>
              <w:rPr>
                <w:sz w:val="24"/>
              </w:rPr>
            </w:pPr>
          </w:p>
        </w:tc>
      </w:tr>
      <w:tr w14:paraId="326F4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5292FCB2">
            <w:pPr>
              <w:rPr>
                <w:sz w:val="24"/>
              </w:rPr>
            </w:pPr>
            <w:r>
              <w:rPr>
                <w:sz w:val="24"/>
              </w:rPr>
              <w:t>Адрес электронной почты для отправки информации об уведомлении</w:t>
            </w:r>
          </w:p>
        </w:tc>
        <w:tc>
          <w:tcPr>
            <w:tcW w:w="4672" w:type="dxa"/>
          </w:tcPr>
          <w:p w14:paraId="6BF50936">
            <w:pPr>
              <w:rPr>
                <w:sz w:val="24"/>
              </w:rPr>
            </w:pPr>
          </w:p>
        </w:tc>
      </w:tr>
      <w:tr w14:paraId="1BCD4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44" w:type="dxa"/>
            <w:gridSpan w:val="2"/>
          </w:tcPr>
          <w:p w14:paraId="710D06D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 о первичном уведомлении</w:t>
            </w:r>
          </w:p>
        </w:tc>
      </w:tr>
      <w:tr w14:paraId="0A911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2D1ED331">
            <w:pPr>
              <w:rPr>
                <w:sz w:val="24"/>
              </w:rPr>
            </w:pPr>
            <w:r>
              <w:rPr>
                <w:sz w:val="24"/>
              </w:rPr>
              <w:t>Номер уведомления</w:t>
            </w:r>
          </w:p>
        </w:tc>
        <w:tc>
          <w:tcPr>
            <w:tcW w:w="4672" w:type="dxa"/>
          </w:tcPr>
          <w:p w14:paraId="1298CA2F">
            <w:pPr>
              <w:rPr>
                <w:sz w:val="24"/>
              </w:rPr>
            </w:pPr>
          </w:p>
        </w:tc>
      </w:tr>
      <w:tr w14:paraId="1584C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7B0DE4BD">
            <w:pPr>
              <w:rPr>
                <w:sz w:val="24"/>
              </w:rPr>
            </w:pPr>
            <w:r>
              <w:rPr>
                <w:sz w:val="24"/>
              </w:rPr>
              <w:t>Ключ</w:t>
            </w:r>
          </w:p>
        </w:tc>
        <w:tc>
          <w:tcPr>
            <w:tcW w:w="4672" w:type="dxa"/>
          </w:tcPr>
          <w:p w14:paraId="5F0D1FAB">
            <w:pPr>
              <w:rPr>
                <w:sz w:val="24"/>
              </w:rPr>
            </w:pPr>
          </w:p>
        </w:tc>
      </w:tr>
      <w:tr w14:paraId="0D9AF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44" w:type="dxa"/>
            <w:gridSpan w:val="2"/>
          </w:tcPr>
          <w:p w14:paraId="225763C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Контактные данные</w:t>
            </w:r>
          </w:p>
        </w:tc>
      </w:tr>
      <w:tr w14:paraId="111E9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0DCF80E8">
            <w:pPr>
              <w:rPr>
                <w:sz w:val="24"/>
              </w:rPr>
            </w:pPr>
            <w:r>
              <w:rPr>
                <w:sz w:val="24"/>
              </w:rPr>
              <w:t>ФИО лица, уполномоченного оператором на взаимодействие с Роскомнадзором по инциденту</w:t>
            </w:r>
          </w:p>
        </w:tc>
        <w:tc>
          <w:tcPr>
            <w:tcW w:w="4672" w:type="dxa"/>
          </w:tcPr>
          <w:p w14:paraId="6C90FBF3">
            <w:pPr>
              <w:rPr>
                <w:sz w:val="24"/>
              </w:rPr>
            </w:pPr>
          </w:p>
        </w:tc>
      </w:tr>
      <w:tr w14:paraId="6F599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5DB67838">
            <w:pPr>
              <w:rPr>
                <w:sz w:val="24"/>
              </w:rPr>
            </w:pPr>
            <w:r>
              <w:rPr>
                <w:sz w:val="24"/>
              </w:rPr>
              <w:t>Контактные данные лица, уполномоченного на взаимодействие</w:t>
            </w:r>
          </w:p>
        </w:tc>
        <w:tc>
          <w:tcPr>
            <w:tcW w:w="4672" w:type="dxa"/>
          </w:tcPr>
          <w:p w14:paraId="3C2EED7C">
            <w:pPr>
              <w:rPr>
                <w:sz w:val="24"/>
              </w:rPr>
            </w:pPr>
          </w:p>
        </w:tc>
      </w:tr>
      <w:tr w14:paraId="58DE9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44" w:type="dxa"/>
            <w:gridSpan w:val="2"/>
          </w:tcPr>
          <w:p w14:paraId="5A570EC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 внутреннего расследования</w:t>
            </w:r>
          </w:p>
        </w:tc>
      </w:tr>
      <w:tr w14:paraId="5B0C9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6D83B7D3">
            <w:pPr>
              <w:rPr>
                <w:sz w:val="24"/>
              </w:rPr>
            </w:pPr>
            <w:r>
              <w:rPr>
                <w:sz w:val="24"/>
              </w:rPr>
              <w:t>Результаты внутреннего расследования инцидента</w:t>
            </w:r>
          </w:p>
        </w:tc>
        <w:tc>
          <w:tcPr>
            <w:tcW w:w="4672" w:type="dxa"/>
          </w:tcPr>
          <w:p w14:paraId="71300A6B">
            <w:pPr>
              <w:rPr>
                <w:sz w:val="24"/>
              </w:rPr>
            </w:pPr>
          </w:p>
        </w:tc>
      </w:tr>
      <w:tr w14:paraId="3005F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0C6E334C">
            <w:pPr>
              <w:rPr>
                <w:sz w:val="24"/>
              </w:rPr>
            </w:pPr>
            <w:r>
              <w:rPr>
                <w:sz w:val="24"/>
              </w:rPr>
              <w:t>Сведения о лицах, действия которых стали причиной инцидента</w:t>
            </w:r>
          </w:p>
        </w:tc>
        <w:tc>
          <w:tcPr>
            <w:tcW w:w="4672" w:type="dxa"/>
          </w:tcPr>
          <w:p w14:paraId="7AB294DE">
            <w:pPr>
              <w:rPr>
                <w:sz w:val="24"/>
              </w:rPr>
            </w:pPr>
          </w:p>
        </w:tc>
      </w:tr>
    </w:tbl>
    <w:p w14:paraId="6F5E09AB"/>
    <w:p w14:paraId="05A5D8F7">
      <w:pPr>
        <w:spacing w:line="240" w:lineRule="auto"/>
        <w:jc w:val="left"/>
        <w:rPr>
          <w:rFonts w:eastAsia="Calibri"/>
          <w:sz w:val="24"/>
          <w:lang w:eastAsia="en-US"/>
        </w:rPr>
        <w:sectPr>
          <w:pgSz w:w="11906" w:h="16838"/>
          <w:pgMar w:top="1134" w:right="567" w:bottom="1134" w:left="1418" w:header="709" w:footer="709" w:gutter="0"/>
          <w:pgNumType w:start="1"/>
          <w:cols w:space="708" w:num="1"/>
          <w:titlePg/>
          <w:docGrid w:linePitch="381" w:charSpace="0"/>
        </w:sectPr>
      </w:pPr>
    </w:p>
    <w:p w14:paraId="46812850">
      <w:pPr>
        <w:pStyle w:val="37"/>
        <w:ind w:left="9639"/>
        <w:jc w:val="center"/>
        <w:rPr>
          <w:rFonts w:eastAsia="Calibri"/>
        </w:rPr>
      </w:pPr>
      <w:r>
        <w:rPr>
          <w:rFonts w:eastAsia="Calibri"/>
        </w:rPr>
        <w:t>Приложение № 3</w:t>
      </w:r>
    </w:p>
    <w:p w14:paraId="63F461D2">
      <w:pPr>
        <w:pStyle w:val="37"/>
        <w:ind w:left="9639"/>
        <w:jc w:val="center"/>
      </w:pPr>
      <w:r>
        <w:t>к Порядку внешнего информационного взаимодействия по инцидентам в области персональных данных</w:t>
      </w:r>
    </w:p>
    <w:p w14:paraId="3159B08C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</w:p>
    <w:p w14:paraId="58D6BCFB">
      <w:pPr>
        <w:spacing w:line="240" w:lineRule="auto"/>
        <w:jc w:val="center"/>
        <w:rPr>
          <w:rFonts w:eastAsia="Calibri"/>
          <w:sz w:val="24"/>
          <w:lang w:eastAsia="en-US"/>
        </w:rPr>
      </w:pPr>
      <w:r>
        <w:rPr>
          <w:rFonts w:eastAsia="Calibri"/>
          <w:b/>
          <w:sz w:val="24"/>
          <w:lang w:eastAsia="en-US"/>
        </w:rPr>
        <w:t>Форма журнала внешнего информационного взаимодействия с Федеральной службой по надзору в сфере связи, информационных технологий и массовых коммуникаций по инцидентам в области персональных данных</w:t>
      </w:r>
    </w:p>
    <w:p w14:paraId="411CC605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</w:p>
    <w:tbl>
      <w:tblPr>
        <w:tblStyle w:val="7"/>
        <w:tblW w:w="428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2314"/>
        <w:gridCol w:w="1496"/>
        <w:gridCol w:w="1940"/>
        <w:gridCol w:w="2479"/>
        <w:gridCol w:w="1771"/>
        <w:gridCol w:w="2155"/>
      </w:tblGrid>
      <w:tr w14:paraId="7B486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" w:type="dxa"/>
            <w:vAlign w:val="center"/>
          </w:tcPr>
          <w:p w14:paraId="07E589A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 п/п</w:t>
            </w:r>
          </w:p>
        </w:tc>
        <w:tc>
          <w:tcPr>
            <w:tcW w:w="2271" w:type="dxa"/>
            <w:vAlign w:val="center"/>
          </w:tcPr>
          <w:p w14:paraId="0BDFA63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Описание инцидента</w:t>
            </w:r>
          </w:p>
        </w:tc>
        <w:tc>
          <w:tcPr>
            <w:tcW w:w="1468" w:type="dxa"/>
            <w:vAlign w:val="center"/>
          </w:tcPr>
          <w:p w14:paraId="1DF842D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Дата и время направления уведомления</w:t>
            </w:r>
          </w:p>
        </w:tc>
        <w:tc>
          <w:tcPr>
            <w:tcW w:w="1904" w:type="dxa"/>
            <w:vAlign w:val="center"/>
          </w:tcPr>
          <w:p w14:paraId="5828975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Способ передачи сведений</w:t>
            </w:r>
          </w:p>
        </w:tc>
        <w:tc>
          <w:tcPr>
            <w:tcW w:w="2433" w:type="dxa"/>
            <w:vAlign w:val="center"/>
          </w:tcPr>
          <w:p w14:paraId="28435DD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Реквизиты запроса, в ответ на который направлено уведомление</w:t>
            </w:r>
          </w:p>
        </w:tc>
        <w:tc>
          <w:tcPr>
            <w:tcW w:w="1737" w:type="dxa"/>
            <w:vAlign w:val="center"/>
          </w:tcPr>
          <w:p w14:paraId="3B72FA0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Исполнитель</w:t>
            </w:r>
          </w:p>
        </w:tc>
        <w:tc>
          <w:tcPr>
            <w:tcW w:w="2114" w:type="dxa"/>
            <w:vAlign w:val="center"/>
          </w:tcPr>
          <w:p w14:paraId="44EE0BD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Примечание</w:t>
            </w:r>
          </w:p>
        </w:tc>
      </w:tr>
      <w:tr w14:paraId="7BB39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" w:type="dxa"/>
          </w:tcPr>
          <w:p w14:paraId="230F11A0">
            <w:pPr>
              <w:rPr>
                <w:sz w:val="20"/>
              </w:rPr>
            </w:pPr>
          </w:p>
        </w:tc>
        <w:tc>
          <w:tcPr>
            <w:tcW w:w="2271" w:type="dxa"/>
          </w:tcPr>
          <w:p w14:paraId="1423E2B2">
            <w:pPr>
              <w:rPr>
                <w:sz w:val="20"/>
              </w:rPr>
            </w:pPr>
          </w:p>
        </w:tc>
        <w:tc>
          <w:tcPr>
            <w:tcW w:w="1468" w:type="dxa"/>
          </w:tcPr>
          <w:p w14:paraId="3FBC89A6">
            <w:pPr>
              <w:rPr>
                <w:sz w:val="20"/>
              </w:rPr>
            </w:pPr>
          </w:p>
        </w:tc>
        <w:tc>
          <w:tcPr>
            <w:tcW w:w="1904" w:type="dxa"/>
          </w:tcPr>
          <w:p w14:paraId="3EF98DFB">
            <w:pPr>
              <w:rPr>
                <w:sz w:val="20"/>
              </w:rPr>
            </w:pPr>
          </w:p>
        </w:tc>
        <w:tc>
          <w:tcPr>
            <w:tcW w:w="2433" w:type="dxa"/>
          </w:tcPr>
          <w:p w14:paraId="06C8A683">
            <w:pPr>
              <w:rPr>
                <w:sz w:val="20"/>
              </w:rPr>
            </w:pPr>
          </w:p>
        </w:tc>
        <w:tc>
          <w:tcPr>
            <w:tcW w:w="1737" w:type="dxa"/>
          </w:tcPr>
          <w:p w14:paraId="5AA89846">
            <w:pPr>
              <w:rPr>
                <w:sz w:val="20"/>
              </w:rPr>
            </w:pPr>
          </w:p>
        </w:tc>
        <w:tc>
          <w:tcPr>
            <w:tcW w:w="2114" w:type="dxa"/>
          </w:tcPr>
          <w:p w14:paraId="10E6A779">
            <w:pPr>
              <w:rPr>
                <w:sz w:val="20"/>
              </w:rPr>
            </w:pPr>
          </w:p>
        </w:tc>
      </w:tr>
      <w:tr w14:paraId="0ACD3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" w:type="dxa"/>
          </w:tcPr>
          <w:p w14:paraId="32F395BC">
            <w:pPr>
              <w:rPr>
                <w:sz w:val="20"/>
              </w:rPr>
            </w:pPr>
          </w:p>
        </w:tc>
        <w:tc>
          <w:tcPr>
            <w:tcW w:w="2271" w:type="dxa"/>
          </w:tcPr>
          <w:p w14:paraId="45C42171">
            <w:pPr>
              <w:rPr>
                <w:sz w:val="20"/>
              </w:rPr>
            </w:pPr>
          </w:p>
        </w:tc>
        <w:tc>
          <w:tcPr>
            <w:tcW w:w="1468" w:type="dxa"/>
          </w:tcPr>
          <w:p w14:paraId="1043C538">
            <w:pPr>
              <w:rPr>
                <w:sz w:val="20"/>
              </w:rPr>
            </w:pPr>
          </w:p>
        </w:tc>
        <w:tc>
          <w:tcPr>
            <w:tcW w:w="1904" w:type="dxa"/>
          </w:tcPr>
          <w:p w14:paraId="12F1AEAB">
            <w:pPr>
              <w:rPr>
                <w:sz w:val="20"/>
              </w:rPr>
            </w:pPr>
          </w:p>
        </w:tc>
        <w:tc>
          <w:tcPr>
            <w:tcW w:w="2433" w:type="dxa"/>
          </w:tcPr>
          <w:p w14:paraId="5CC687DF">
            <w:pPr>
              <w:rPr>
                <w:sz w:val="20"/>
              </w:rPr>
            </w:pPr>
          </w:p>
        </w:tc>
        <w:tc>
          <w:tcPr>
            <w:tcW w:w="1737" w:type="dxa"/>
          </w:tcPr>
          <w:p w14:paraId="4757673A">
            <w:pPr>
              <w:rPr>
                <w:sz w:val="20"/>
              </w:rPr>
            </w:pPr>
          </w:p>
        </w:tc>
        <w:tc>
          <w:tcPr>
            <w:tcW w:w="2114" w:type="dxa"/>
          </w:tcPr>
          <w:p w14:paraId="7F200784">
            <w:pPr>
              <w:rPr>
                <w:sz w:val="20"/>
              </w:rPr>
            </w:pPr>
          </w:p>
        </w:tc>
      </w:tr>
      <w:tr w14:paraId="57F6D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" w:type="dxa"/>
          </w:tcPr>
          <w:p w14:paraId="7EF3DA31">
            <w:pPr>
              <w:rPr>
                <w:sz w:val="20"/>
              </w:rPr>
            </w:pPr>
          </w:p>
        </w:tc>
        <w:tc>
          <w:tcPr>
            <w:tcW w:w="2271" w:type="dxa"/>
          </w:tcPr>
          <w:p w14:paraId="6C0690AB">
            <w:pPr>
              <w:rPr>
                <w:sz w:val="20"/>
              </w:rPr>
            </w:pPr>
          </w:p>
        </w:tc>
        <w:tc>
          <w:tcPr>
            <w:tcW w:w="1468" w:type="dxa"/>
          </w:tcPr>
          <w:p w14:paraId="52E8EE86">
            <w:pPr>
              <w:rPr>
                <w:sz w:val="20"/>
              </w:rPr>
            </w:pPr>
          </w:p>
        </w:tc>
        <w:tc>
          <w:tcPr>
            <w:tcW w:w="1904" w:type="dxa"/>
          </w:tcPr>
          <w:p w14:paraId="4D137501">
            <w:pPr>
              <w:rPr>
                <w:sz w:val="20"/>
              </w:rPr>
            </w:pPr>
          </w:p>
        </w:tc>
        <w:tc>
          <w:tcPr>
            <w:tcW w:w="2433" w:type="dxa"/>
          </w:tcPr>
          <w:p w14:paraId="7E7C7788">
            <w:pPr>
              <w:rPr>
                <w:sz w:val="20"/>
              </w:rPr>
            </w:pPr>
          </w:p>
        </w:tc>
        <w:tc>
          <w:tcPr>
            <w:tcW w:w="1737" w:type="dxa"/>
          </w:tcPr>
          <w:p w14:paraId="0802AA40">
            <w:pPr>
              <w:rPr>
                <w:sz w:val="20"/>
              </w:rPr>
            </w:pPr>
          </w:p>
        </w:tc>
        <w:tc>
          <w:tcPr>
            <w:tcW w:w="2114" w:type="dxa"/>
          </w:tcPr>
          <w:p w14:paraId="694A06E1">
            <w:pPr>
              <w:rPr>
                <w:sz w:val="20"/>
              </w:rPr>
            </w:pPr>
          </w:p>
        </w:tc>
      </w:tr>
    </w:tbl>
    <w:p w14:paraId="33AF9971">
      <w:pPr>
        <w:spacing w:line="240" w:lineRule="auto"/>
        <w:jc w:val="left"/>
        <w:rPr>
          <w:rFonts w:eastAsia="Calibri"/>
          <w:sz w:val="24"/>
          <w:lang w:eastAsia="en-US"/>
        </w:rPr>
      </w:pPr>
    </w:p>
    <w:p w14:paraId="729E5B6A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  <w:sectPr>
          <w:pgSz w:w="16838" w:h="11906" w:orient="landscape"/>
          <w:pgMar w:top="1134" w:right="567" w:bottom="1134" w:left="1418" w:header="709" w:footer="0" w:gutter="0"/>
          <w:pgNumType w:start="1"/>
          <w:cols w:space="708" w:num="1"/>
          <w:titlePg/>
          <w:docGrid w:linePitch="381" w:charSpace="0"/>
        </w:sectPr>
      </w:pPr>
    </w:p>
    <w:p w14:paraId="4025E9C5">
      <w:pPr>
        <w:pStyle w:val="37"/>
        <w:ind w:left="4536"/>
        <w:jc w:val="center"/>
        <w:rPr>
          <w:rFonts w:eastAsia="Calibri"/>
        </w:rPr>
      </w:pPr>
      <w:r>
        <w:rPr>
          <w:rFonts w:eastAsia="Calibri"/>
        </w:rPr>
        <w:t>Приложение № 4</w:t>
      </w:r>
    </w:p>
    <w:p w14:paraId="0985F293">
      <w:pPr>
        <w:pStyle w:val="37"/>
        <w:ind w:left="4536"/>
        <w:jc w:val="center"/>
      </w:pPr>
      <w:r>
        <w:t>к Порядку внешнего информационного взаимодействия по инцидентам в области персональных данных</w:t>
      </w:r>
    </w:p>
    <w:p w14:paraId="72B7BA3B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</w:p>
    <w:p w14:paraId="0D70588E">
      <w:pPr>
        <w:spacing w:line="240" w:lineRule="auto"/>
        <w:jc w:val="center"/>
        <w:rPr>
          <w:rFonts w:eastAsia="Calibri"/>
          <w:sz w:val="24"/>
          <w:lang w:eastAsia="en-US"/>
        </w:rPr>
      </w:pPr>
      <w:r>
        <w:rPr>
          <w:rFonts w:eastAsia="Calibri"/>
          <w:b/>
          <w:sz w:val="24"/>
          <w:lang w:eastAsia="en-US"/>
        </w:rPr>
        <w:t>Акт о проведении внутреннего расследования по инциденту в области персональных данных, сведения о которых получены от Роскомнадзора</w:t>
      </w:r>
    </w:p>
    <w:p w14:paraId="2A020173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</w:p>
    <w:p w14:paraId="29FE65A8">
      <w:pPr>
        <w:spacing w:line="240" w:lineRule="auto"/>
        <w:jc w:val="left"/>
        <w:rPr>
          <w:rFonts w:eastAsia="Calibri"/>
          <w:sz w:val="24"/>
          <w:lang w:eastAsia="en-US"/>
        </w:rPr>
      </w:pPr>
    </w:p>
    <w:p w14:paraId="1F8E9F72">
      <w:pPr>
        <w:spacing w:line="240" w:lineRule="auto"/>
        <w:ind w:firstLine="709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1. Лица, ответственные за проведение внутреннего расследования:</w:t>
      </w:r>
    </w:p>
    <w:p w14:paraId="3D87A1D8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________________________________________________________________________</w:t>
      </w:r>
    </w:p>
    <w:p w14:paraId="1758B59C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________________________________________________________________________</w:t>
      </w:r>
    </w:p>
    <w:p w14:paraId="413BE8DB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________________________________________________________________________</w:t>
      </w:r>
    </w:p>
    <w:p w14:paraId="3260E277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________________________________________________________________________</w:t>
      </w:r>
    </w:p>
    <w:p w14:paraId="49DCBEF4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________________________________________________________________________</w:t>
      </w:r>
    </w:p>
    <w:p w14:paraId="34967AAC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________________________________________________________________________</w:t>
      </w:r>
    </w:p>
    <w:p w14:paraId="0BECDEC5">
      <w:pPr>
        <w:spacing w:line="240" w:lineRule="auto"/>
        <w:ind w:firstLine="709"/>
        <w:rPr>
          <w:rFonts w:eastAsia="Calibri"/>
          <w:sz w:val="24"/>
          <w:lang w:eastAsia="en-US"/>
        </w:rPr>
      </w:pPr>
    </w:p>
    <w:p w14:paraId="192AED95">
      <w:pPr>
        <w:spacing w:line="240" w:lineRule="auto"/>
        <w:ind w:firstLine="709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2. Реквизиты запроса Федеральной службы по надзору в сфере связи, информационных технологий и массовых коммуникаций с требованием о предоставлении сведений по инциденту, сведения о котором не были представлены:</w:t>
      </w:r>
    </w:p>
    <w:p w14:paraId="1EE92195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________________________________________________________________________</w:t>
      </w:r>
    </w:p>
    <w:p w14:paraId="70BA0A4C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________________________________________________________________________</w:t>
      </w:r>
    </w:p>
    <w:p w14:paraId="2C29F627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</w:p>
    <w:p w14:paraId="60D50969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3. Период проведения внутреннего расследования:</w:t>
      </w:r>
    </w:p>
    <w:p w14:paraId="67D6F9C7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________________________________________________________________________</w:t>
      </w:r>
    </w:p>
    <w:p w14:paraId="3D393211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________________________________________________________________________</w:t>
      </w:r>
    </w:p>
    <w:p w14:paraId="564289CB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</w:p>
    <w:p w14:paraId="51AD25DC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4. Результат внутреннего расследования:</w:t>
      </w:r>
    </w:p>
    <w:p w14:paraId="7A923F16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________________________________________________________________________</w:t>
      </w:r>
    </w:p>
    <w:p w14:paraId="578B2AD9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________________________________________________________________________</w:t>
      </w:r>
    </w:p>
    <w:p w14:paraId="10F7AA6A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________________________________________________________________________</w:t>
      </w:r>
    </w:p>
    <w:p w14:paraId="08516759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________________________________________________________________________</w:t>
      </w:r>
    </w:p>
    <w:p w14:paraId="35F675B5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________________________________________________________________________</w:t>
      </w:r>
    </w:p>
    <w:p w14:paraId="4B0E7952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________________________________________________________________________</w:t>
      </w:r>
    </w:p>
    <w:p w14:paraId="05510D18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________________________________________________________________________</w:t>
      </w:r>
    </w:p>
    <w:p w14:paraId="116FFE14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________________________________________________________________________</w:t>
      </w:r>
    </w:p>
    <w:p w14:paraId="10730D20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________________________________________________________________________</w:t>
      </w:r>
    </w:p>
    <w:p w14:paraId="28CB3F85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</w:p>
    <w:p w14:paraId="1850A251">
      <w:pPr>
        <w:spacing w:line="240" w:lineRule="auto"/>
        <w:ind w:firstLine="709"/>
        <w:jc w:val="left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Лица, ответственные за проведение внутреннего расследования:</w:t>
      </w:r>
    </w:p>
    <w:tbl>
      <w:tblPr>
        <w:tblStyle w:val="7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9"/>
        <w:gridCol w:w="304"/>
        <w:gridCol w:w="2927"/>
        <w:gridCol w:w="379"/>
        <w:gridCol w:w="2748"/>
      </w:tblGrid>
      <w:tr w14:paraId="26FBA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8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86FBE76">
            <w:pPr>
              <w:spacing w:line="240" w:lineRule="auto"/>
              <w:ind w:firstLine="709"/>
              <w:jc w:val="left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58" w:type="pct"/>
          </w:tcPr>
          <w:p w14:paraId="21EAA82F">
            <w:pPr>
              <w:spacing w:line="240" w:lineRule="auto"/>
              <w:ind w:firstLine="709"/>
              <w:jc w:val="left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520" w:type="pct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4242DB75">
            <w:pPr>
              <w:spacing w:line="240" w:lineRule="auto"/>
              <w:ind w:firstLine="709"/>
              <w:jc w:val="left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97" w:type="pct"/>
          </w:tcPr>
          <w:p w14:paraId="19E9DCD1">
            <w:pPr>
              <w:spacing w:line="240" w:lineRule="auto"/>
              <w:ind w:firstLine="709"/>
              <w:jc w:val="left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427" w:type="pct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3BC8F214">
            <w:pPr>
              <w:spacing w:line="240" w:lineRule="auto"/>
              <w:ind w:firstLine="709"/>
              <w:jc w:val="left"/>
              <w:rPr>
                <w:rFonts w:eastAsia="Calibri"/>
                <w:sz w:val="24"/>
                <w:lang w:eastAsia="en-US"/>
              </w:rPr>
            </w:pPr>
          </w:p>
        </w:tc>
      </w:tr>
      <w:tr w14:paraId="19F7D8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8" w:type="pct"/>
            <w:tcBorders>
              <w:top w:val="single" w:color="auto" w:sz="4" w:space="0"/>
              <w:left w:val="nil"/>
              <w:right w:val="nil"/>
            </w:tcBorders>
          </w:tcPr>
          <w:p w14:paraId="2025DAC3">
            <w:pPr>
              <w:spacing w:line="240" w:lineRule="auto"/>
              <w:ind w:firstLine="709"/>
              <w:jc w:val="center"/>
              <w:rPr>
                <w:rFonts w:eastAsia="Calibri"/>
                <w:sz w:val="16"/>
                <w:lang w:eastAsia="en-US"/>
              </w:rPr>
            </w:pPr>
            <w:r>
              <w:rPr>
                <w:rFonts w:eastAsia="Calibri"/>
                <w:sz w:val="16"/>
                <w:lang w:eastAsia="en-US"/>
              </w:rPr>
              <w:t>(дата)</w:t>
            </w:r>
          </w:p>
        </w:tc>
        <w:tc>
          <w:tcPr>
            <w:tcW w:w="158" w:type="pct"/>
          </w:tcPr>
          <w:p w14:paraId="67463C6F">
            <w:pPr>
              <w:spacing w:line="240" w:lineRule="auto"/>
              <w:ind w:firstLine="709"/>
              <w:jc w:val="center"/>
              <w:rPr>
                <w:rFonts w:eastAsia="Calibri"/>
                <w:sz w:val="16"/>
                <w:lang w:eastAsia="en-US"/>
              </w:rPr>
            </w:pPr>
          </w:p>
        </w:tc>
        <w:tc>
          <w:tcPr>
            <w:tcW w:w="1520" w:type="pct"/>
          </w:tcPr>
          <w:p w14:paraId="0C89671D">
            <w:pPr>
              <w:spacing w:line="240" w:lineRule="auto"/>
              <w:ind w:firstLine="709"/>
              <w:jc w:val="center"/>
              <w:rPr>
                <w:rFonts w:eastAsia="Calibri"/>
                <w:sz w:val="16"/>
                <w:lang w:eastAsia="en-US"/>
              </w:rPr>
            </w:pPr>
            <w:r>
              <w:rPr>
                <w:rFonts w:eastAsia="Calibri"/>
                <w:sz w:val="16"/>
                <w:lang w:eastAsia="en-US"/>
              </w:rPr>
              <w:t>(подпись)</w:t>
            </w:r>
          </w:p>
        </w:tc>
        <w:tc>
          <w:tcPr>
            <w:tcW w:w="197" w:type="pct"/>
          </w:tcPr>
          <w:p w14:paraId="0E456F85">
            <w:pPr>
              <w:spacing w:line="240" w:lineRule="auto"/>
              <w:ind w:firstLine="709"/>
              <w:jc w:val="center"/>
              <w:rPr>
                <w:rFonts w:eastAsia="Calibri"/>
                <w:sz w:val="16"/>
                <w:lang w:eastAsia="en-US"/>
              </w:rPr>
            </w:pPr>
          </w:p>
        </w:tc>
        <w:tc>
          <w:tcPr>
            <w:tcW w:w="1427" w:type="pct"/>
          </w:tcPr>
          <w:p w14:paraId="18D40CB2">
            <w:pPr>
              <w:spacing w:line="240" w:lineRule="auto"/>
              <w:ind w:firstLine="709"/>
              <w:jc w:val="center"/>
              <w:rPr>
                <w:rFonts w:eastAsia="Calibri"/>
                <w:sz w:val="16"/>
                <w:lang w:eastAsia="en-US"/>
              </w:rPr>
            </w:pPr>
            <w:r>
              <w:rPr>
                <w:rFonts w:eastAsia="Calibri"/>
                <w:sz w:val="16"/>
                <w:lang w:eastAsia="en-US"/>
              </w:rPr>
              <w:t>(расшифровка подписи)</w:t>
            </w:r>
          </w:p>
        </w:tc>
      </w:tr>
    </w:tbl>
    <w:p w14:paraId="542C9262">
      <w:pPr>
        <w:spacing w:line="240" w:lineRule="auto"/>
        <w:jc w:val="left"/>
        <w:rPr>
          <w:rFonts w:eastAsia="Calibri"/>
          <w:sz w:val="24"/>
          <w:lang w:eastAsia="en-US"/>
        </w:rPr>
      </w:pPr>
    </w:p>
    <w:p w14:paraId="0DFB97B5">
      <w:pPr>
        <w:jc w:val="both"/>
        <w:rPr>
          <w:sz w:val="28"/>
          <w:szCs w:val="28"/>
        </w:rPr>
      </w:pPr>
    </w:p>
    <w:sectPr>
      <w:pgSz w:w="11906" w:h="16838"/>
      <w:pgMar w:top="850" w:right="851" w:bottom="1134" w:left="1644" w:header="0" w:footer="0" w:gutter="0"/>
      <w:pgNumType w:fmt="decimal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iberation Serif">
    <w:altName w:val="Times New Roman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Droid Sans Arabic">
    <w:altName w:val="Migra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graC">
    <w:panose1 w:val="02000600000000000000"/>
    <w:charset w:val="00"/>
    <w:family w:val="auto"/>
    <w:pitch w:val="default"/>
    <w:sig w:usb0="A00002FF" w:usb1="1000000A" w:usb2="00000000" w:usb3="00000000" w:csb0="00000187" w:csb1="00000000"/>
  </w:font>
  <w:font w:name="Droid Sans Fallback">
    <w:altName w:val="Migra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roid Sans Devanagari">
    <w:altName w:val="Migra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roman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40484055"/>
    <w:multiLevelType w:val="multilevel"/>
    <w:tmpl w:val="40484055"/>
    <w:lvl w:ilvl="0" w:tentative="0">
      <w:start w:val="1"/>
      <w:numFmt w:val="decimal"/>
      <w:pStyle w:val="40"/>
      <w:suff w:val="space"/>
      <w:lvlText w:val="%1."/>
      <w:lvlJc w:val="left"/>
      <w:pPr>
        <w:ind w:left="0" w:firstLine="0"/>
      </w:pPr>
      <w:rPr>
        <w:rFonts w:hint="default"/>
      </w:rPr>
    </w:lvl>
    <w:lvl w:ilvl="1" w:tentative="0">
      <w:start w:val="1"/>
      <w:numFmt w:val="decimal"/>
      <w:pStyle w:val="41"/>
      <w:isLgl/>
      <w:suff w:val="space"/>
      <w:lvlText w:val="%1.%2."/>
      <w:lvlJc w:val="left"/>
      <w:pPr>
        <w:ind w:left="0" w:firstLine="709"/>
      </w:pPr>
      <w:rPr>
        <w:rFonts w:hint="default"/>
        <w:u w:val="none"/>
      </w:rPr>
    </w:lvl>
    <w:lvl w:ilvl="2" w:tentative="0">
      <w:start w:val="1"/>
      <w:numFmt w:val="decimal"/>
      <w:pStyle w:val="42"/>
      <w:isLgl/>
      <w:suff w:val="space"/>
      <w:lvlText w:val="%1.%2.%3."/>
      <w:lvlJc w:val="left"/>
      <w:pPr>
        <w:ind w:left="0" w:firstLine="709"/>
      </w:pPr>
      <w:rPr>
        <w:rFonts w:hint="default"/>
      </w:rPr>
    </w:lvl>
    <w:lvl w:ilvl="3" w:tentative="0">
      <w:start w:val="1"/>
      <w:numFmt w:val="decimal"/>
      <w:pStyle w:val="43"/>
      <w:isLgl/>
      <w:suff w:val="space"/>
      <w:lvlText w:val="%1.%2.%3.%4."/>
      <w:lvlJc w:val="left"/>
      <w:pPr>
        <w:ind w:left="0" w:firstLine="709"/>
      </w:pPr>
      <w:rPr>
        <w:rFonts w:hint="default"/>
      </w:rPr>
    </w:lvl>
    <w:lvl w:ilvl="4" w:tentative="0">
      <w:start w:val="1"/>
      <w:numFmt w:val="decimal"/>
      <w:isLgl/>
      <w:suff w:val="space"/>
      <w:lvlText w:val="%1.%2.%3.%4.%5."/>
      <w:lvlJc w:val="left"/>
      <w:pPr>
        <w:ind w:left="0" w:firstLine="709"/>
      </w:pPr>
      <w:rPr>
        <w:rFonts w:hint="default"/>
      </w:rPr>
    </w:lvl>
    <w:lvl w:ilvl="5" w:tentative="0">
      <w:start w:val="1"/>
      <w:numFmt w:val="decimal"/>
      <w:isLgl/>
      <w:suff w:val="space"/>
      <w:lvlText w:val="%1.%2.%3.%4.%5.%6."/>
      <w:lvlJc w:val="left"/>
      <w:pPr>
        <w:ind w:left="0" w:firstLine="709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>
    <w:nsid w:val="4E625B1E"/>
    <w:multiLevelType w:val="multilevel"/>
    <w:tmpl w:val="4E625B1E"/>
    <w:lvl w:ilvl="0" w:tentative="0">
      <w:start w:val="1"/>
      <w:numFmt w:val="decimal"/>
      <w:pStyle w:val="34"/>
      <w:suff w:val="space"/>
      <w:lvlText w:val="%1."/>
      <w:lvlJc w:val="left"/>
      <w:pPr>
        <w:ind w:left="0" w:firstLine="709"/>
      </w:pPr>
      <w:rPr>
        <w:rFonts w:hint="default"/>
      </w:rPr>
    </w:lvl>
    <w:lvl w:ilvl="1" w:tentative="0">
      <w:start w:val="1"/>
      <w:numFmt w:val="decimal"/>
      <w:lvlText w:val="%2."/>
      <w:lvlJc w:val="left"/>
      <w:pPr>
        <w:tabs>
          <w:tab w:val="left" w:pos="2215"/>
        </w:tabs>
        <w:ind w:left="2215" w:hanging="360"/>
      </w:pPr>
    </w:lvl>
    <w:lvl w:ilvl="2" w:tentative="0">
      <w:start w:val="1"/>
      <w:numFmt w:val="decimal"/>
      <w:lvlText w:val="%3."/>
      <w:lvlJc w:val="left"/>
      <w:pPr>
        <w:tabs>
          <w:tab w:val="left" w:pos="2935"/>
        </w:tabs>
        <w:ind w:left="2935" w:hanging="360"/>
      </w:pPr>
    </w:lvl>
    <w:lvl w:ilvl="3" w:tentative="0">
      <w:start w:val="1"/>
      <w:numFmt w:val="decimal"/>
      <w:lvlText w:val="%4."/>
      <w:lvlJc w:val="left"/>
      <w:pPr>
        <w:tabs>
          <w:tab w:val="left" w:pos="3655"/>
        </w:tabs>
        <w:ind w:left="3655" w:hanging="360"/>
      </w:pPr>
    </w:lvl>
    <w:lvl w:ilvl="4" w:tentative="0">
      <w:start w:val="1"/>
      <w:numFmt w:val="decimal"/>
      <w:lvlText w:val="%5."/>
      <w:lvlJc w:val="left"/>
      <w:pPr>
        <w:tabs>
          <w:tab w:val="left" w:pos="4375"/>
        </w:tabs>
        <w:ind w:left="4375" w:hanging="360"/>
      </w:pPr>
    </w:lvl>
    <w:lvl w:ilvl="5" w:tentative="0">
      <w:start w:val="1"/>
      <w:numFmt w:val="decimal"/>
      <w:lvlText w:val="%6."/>
      <w:lvlJc w:val="left"/>
      <w:pPr>
        <w:tabs>
          <w:tab w:val="left" w:pos="5095"/>
        </w:tabs>
        <w:ind w:left="5095" w:hanging="360"/>
      </w:pPr>
    </w:lvl>
    <w:lvl w:ilvl="6" w:tentative="0">
      <w:start w:val="1"/>
      <w:numFmt w:val="decimal"/>
      <w:lvlText w:val="%7."/>
      <w:lvlJc w:val="left"/>
      <w:pPr>
        <w:tabs>
          <w:tab w:val="left" w:pos="5815"/>
        </w:tabs>
        <w:ind w:left="5815" w:hanging="360"/>
      </w:pPr>
    </w:lvl>
    <w:lvl w:ilvl="7" w:tentative="0">
      <w:start w:val="1"/>
      <w:numFmt w:val="decimal"/>
      <w:lvlText w:val="%8."/>
      <w:lvlJc w:val="left"/>
      <w:pPr>
        <w:tabs>
          <w:tab w:val="left" w:pos="6535"/>
        </w:tabs>
        <w:ind w:left="6535" w:hanging="360"/>
      </w:pPr>
    </w:lvl>
    <w:lvl w:ilvl="8" w:tentative="0">
      <w:start w:val="1"/>
      <w:numFmt w:val="decimal"/>
      <w:lvlText w:val="%9."/>
      <w:lvlJc w:val="left"/>
      <w:pPr>
        <w:tabs>
          <w:tab w:val="left" w:pos="7255"/>
        </w:tabs>
        <w:ind w:left="7255" w:hanging="360"/>
      </w:pPr>
    </w:lvl>
  </w:abstractNum>
  <w:abstractNum w:abstractNumId="3">
    <w:nsid w:val="6C456FD9"/>
    <w:multiLevelType w:val="multilevel"/>
    <w:tmpl w:val="6C456FD9"/>
    <w:lvl w:ilvl="0" w:tentative="0">
      <w:start w:val="1"/>
      <w:numFmt w:val="bullet"/>
      <w:pStyle w:val="44"/>
      <w:suff w:val="space"/>
      <w:lvlText w:val="–"/>
      <w:lvlJc w:val="left"/>
      <w:pPr>
        <w:ind w:left="0" w:firstLine="708"/>
      </w:pPr>
      <w:rPr>
        <w:rFonts w:hint="default" w:ascii="Times New Roman" w:hAnsi="Times New Roman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autoHyphenation/>
  <w:displayHorizontalDrawingGridEvery w:val="1"/>
  <w:displayVerticalDrawingGridEvery w:val="1"/>
  <w:noPunctuationKerning w:val="1"/>
  <w:footnotePr>
    <w:footnote w:id="0"/>
    <w:footnote w:id="1"/>
  </w:foot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76301DF"/>
    <w:rsid w:val="095B5EEE"/>
    <w:rsid w:val="110765F0"/>
    <w:rsid w:val="167D1983"/>
    <w:rsid w:val="19376A6C"/>
    <w:rsid w:val="1B415BC7"/>
    <w:rsid w:val="1FB94A9C"/>
    <w:rsid w:val="21AE60AC"/>
    <w:rsid w:val="466762D8"/>
    <w:rsid w:val="56C5391F"/>
    <w:rsid w:val="65767BAA"/>
    <w:rsid w:val="71573D01"/>
    <w:rsid w:val="734917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0" w:semiHidden="0" w:name="header"/>
    <w:lsdException w:qFormat="1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  <w:bCs/>
      <w:sz w:val="26"/>
      <w:szCs w:val="26"/>
    </w:rPr>
  </w:style>
  <w:style w:type="paragraph" w:styleId="3">
    <w:name w:val="heading 2"/>
    <w:basedOn w:val="4"/>
    <w:next w:val="5"/>
    <w:qFormat/>
    <w:uiPriority w:val="0"/>
    <w:pPr>
      <w:numPr>
        <w:ilvl w:val="1"/>
        <w:numId w:val="1"/>
      </w:numPr>
      <w:spacing w:before="200" w:after="120"/>
      <w:outlineLvl w:val="1"/>
    </w:pPr>
    <w:rPr>
      <w:rFonts w:ascii="Liberation Serif" w:hAnsi="Liberation Serif" w:eastAsia="Liberation Sans" w:cs="Droid Sans Arabic"/>
      <w:b/>
      <w:bCs/>
      <w:sz w:val="36"/>
      <w:szCs w:val="36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Заголовок1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5">
    <w:name w:val="Body Text"/>
    <w:basedOn w:val="1"/>
    <w:qFormat/>
    <w:uiPriority w:val="0"/>
    <w:pPr>
      <w:jc w:val="both"/>
    </w:pPr>
    <w:rPr>
      <w:sz w:val="26"/>
    </w:rPr>
  </w:style>
  <w:style w:type="paragraph" w:styleId="8">
    <w:name w:val="Balloon Text"/>
    <w:basedOn w:val="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9">
    <w:name w:val="Body Text 2"/>
    <w:basedOn w:val="1"/>
    <w:qFormat/>
    <w:uiPriority w:val="0"/>
    <w:pPr>
      <w:shd w:val="clear" w:color="auto" w:fill="FFFFFF"/>
      <w:spacing w:line="360" w:lineRule="auto"/>
      <w:jc w:val="both"/>
    </w:pPr>
    <w:rPr>
      <w:color w:val="000000"/>
      <w:sz w:val="26"/>
      <w:szCs w:val="26"/>
    </w:rPr>
  </w:style>
  <w:style w:type="paragraph" w:styleId="10">
    <w:name w:val="caption"/>
    <w:basedOn w:val="1"/>
    <w:qFormat/>
    <w:uiPriority w:val="0"/>
    <w:pPr>
      <w:suppressLineNumbers/>
      <w:spacing w:before="120" w:after="120"/>
    </w:pPr>
    <w:rPr>
      <w:rFonts w:cs="Droid Sans Devanagari"/>
      <w:i/>
      <w:iCs/>
    </w:rPr>
  </w:style>
  <w:style w:type="paragraph" w:styleId="11">
    <w:name w:val="annotation text"/>
    <w:basedOn w:val="1"/>
    <w:unhideWhenUsed/>
    <w:qFormat/>
    <w:uiPriority w:val="99"/>
    <w:rPr>
      <w:sz w:val="20"/>
      <w:szCs w:val="20"/>
    </w:rPr>
  </w:style>
  <w:style w:type="paragraph" w:styleId="12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3">
    <w:name w:val="index heading"/>
    <w:basedOn w:val="1"/>
    <w:qFormat/>
    <w:uiPriority w:val="0"/>
    <w:pPr>
      <w:suppressLineNumbers/>
    </w:pPr>
    <w:rPr>
      <w:rFonts w:cs="Droid Sans Devanagari"/>
    </w:rPr>
  </w:style>
  <w:style w:type="paragraph" w:styleId="14">
    <w:name w:val="List"/>
    <w:basedOn w:val="5"/>
    <w:qFormat/>
    <w:uiPriority w:val="0"/>
    <w:rPr>
      <w:rFonts w:cs="Droid Sans Devanagari"/>
    </w:rPr>
  </w:style>
  <w:style w:type="paragraph" w:styleId="15">
    <w:name w:val="Normal (Web)"/>
    <w:basedOn w:val="1"/>
    <w:semiHidden/>
    <w:unhideWhenUsed/>
    <w:qFormat/>
    <w:uiPriority w:val="99"/>
    <w:rPr>
      <w:sz w:val="24"/>
      <w:szCs w:val="24"/>
    </w:rPr>
  </w:style>
  <w:style w:type="table" w:styleId="16">
    <w:name w:val="Table Grid"/>
    <w:basedOn w:val="7"/>
    <w:qFormat/>
    <w:uiPriority w:val="59"/>
    <w:rPr>
      <w:rFonts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Заголовок 1 Знак"/>
    <w:basedOn w:val="6"/>
    <w:qFormat/>
    <w:uiPriority w:val="0"/>
    <w:rPr>
      <w:rFonts w:ascii="Times New Roman" w:hAnsi="Times New Roman" w:eastAsia="Times New Roman"/>
      <w:b/>
      <w:bCs/>
      <w:sz w:val="26"/>
      <w:szCs w:val="26"/>
      <w:lang w:eastAsia="ru-RU"/>
    </w:rPr>
  </w:style>
  <w:style w:type="character" w:customStyle="1" w:styleId="18">
    <w:name w:val="Основной текст Знак"/>
    <w:basedOn w:val="6"/>
    <w:qFormat/>
    <w:uiPriority w:val="0"/>
    <w:rPr>
      <w:rFonts w:ascii="Times New Roman" w:hAnsi="Times New Roman" w:eastAsia="Times New Roman"/>
      <w:sz w:val="26"/>
      <w:szCs w:val="24"/>
      <w:lang w:eastAsia="ru-RU"/>
    </w:rPr>
  </w:style>
  <w:style w:type="character" w:customStyle="1" w:styleId="19">
    <w:name w:val="Заголовок 2 Знак"/>
    <w:basedOn w:val="6"/>
    <w:qFormat/>
    <w:uiPriority w:val="0"/>
    <w:rPr>
      <w:rFonts w:ascii="Times New Roman" w:hAnsi="Times New Roman" w:eastAsia="Times New Roman"/>
      <w:color w:val="000000"/>
      <w:sz w:val="26"/>
      <w:szCs w:val="26"/>
      <w:shd w:val="clear" w:fill="FFFFFF"/>
      <w:lang w:eastAsia="ru-RU"/>
    </w:rPr>
  </w:style>
  <w:style w:type="character" w:customStyle="1" w:styleId="20">
    <w:name w:val="Текст выноски Знак"/>
    <w:basedOn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21">
    <w:name w:val="Гиперссылка1"/>
    <w:qFormat/>
    <w:uiPriority w:val="0"/>
    <w:rPr>
      <w:color w:val="000080"/>
      <w:u w:val="single"/>
    </w:rPr>
  </w:style>
  <w:style w:type="character" w:customStyle="1" w:styleId="22">
    <w:name w:val="Символ нумерации"/>
    <w:qFormat/>
    <w:uiPriority w:val="0"/>
  </w:style>
  <w:style w:type="paragraph" w:customStyle="1" w:styleId="23">
    <w:name w:val="Заголовок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24">
    <w:name w:val="Указатель12"/>
    <w:basedOn w:val="1"/>
    <w:qFormat/>
    <w:uiPriority w:val="0"/>
    <w:pPr>
      <w:suppressLineNumbers/>
    </w:pPr>
    <w:rPr>
      <w:rFonts w:cs="Arial"/>
    </w:rPr>
  </w:style>
  <w:style w:type="paragraph" w:customStyle="1" w:styleId="25">
    <w:name w:val="Колонтитул"/>
    <w:basedOn w:val="1"/>
    <w:qFormat/>
    <w:uiPriority w:val="0"/>
  </w:style>
  <w:style w:type="paragraph" w:customStyle="1" w:styleId="26">
    <w:name w:val="Указатель11"/>
    <w:basedOn w:val="1"/>
    <w:qFormat/>
    <w:uiPriority w:val="0"/>
    <w:pPr>
      <w:suppressLineNumbers/>
    </w:pPr>
    <w:rPr>
      <w:rFonts w:cs="Arial"/>
    </w:rPr>
  </w:style>
  <w:style w:type="paragraph" w:customStyle="1" w:styleId="27">
    <w:name w:val="Указатель1"/>
    <w:basedOn w:val="1"/>
    <w:qFormat/>
    <w:uiPriority w:val="0"/>
    <w:pPr>
      <w:suppressLineNumbers/>
    </w:pPr>
    <w:rPr>
      <w:rFonts w:cs="Arial"/>
    </w:rPr>
  </w:style>
  <w:style w:type="paragraph" w:customStyle="1" w:styleId="28">
    <w:name w:val="ConsPlusNonformat"/>
    <w:qFormat/>
    <w:uiPriority w:val="0"/>
    <w:pPr>
      <w:widowControl w:val="0"/>
      <w:suppressAutoHyphens/>
      <w:bidi w:val="0"/>
      <w:spacing w:before="0" w:after="0"/>
      <w:jc w:val="left"/>
    </w:pPr>
    <w:rPr>
      <w:rFonts w:ascii="Courier New" w:hAnsi="Courier New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29">
    <w:name w:val="List Paragraph"/>
    <w:basedOn w:val="1"/>
    <w:qFormat/>
    <w:uiPriority w:val="34"/>
    <w:pPr>
      <w:spacing w:before="0" w:after="0"/>
      <w:ind w:left="720" w:firstLine="0"/>
      <w:contextualSpacing/>
    </w:pPr>
  </w:style>
  <w:style w:type="paragraph" w:customStyle="1" w:styleId="30">
    <w:name w:val="Отступ абзаца"/>
    <w:basedOn w:val="1"/>
    <w:qFormat/>
    <w:uiPriority w:val="0"/>
    <w:pPr>
      <w:ind w:firstLine="708"/>
    </w:pPr>
    <w:rPr>
      <w:szCs w:val="20"/>
    </w:rPr>
  </w:style>
  <w:style w:type="character" w:customStyle="1" w:styleId="31">
    <w:name w:val="Слово Приложение"/>
    <w:basedOn w:val="6"/>
    <w:qFormat/>
    <w:uiPriority w:val="1"/>
  </w:style>
  <w:style w:type="character" w:customStyle="1" w:styleId="32">
    <w:name w:val="Написание специального слова Знак"/>
    <w:basedOn w:val="6"/>
    <w:link w:val="33"/>
    <w:qFormat/>
    <w:uiPriority w:val="0"/>
    <w:rPr>
      <w:rFonts w:cs="Times New Roman CYR"/>
    </w:rPr>
  </w:style>
  <w:style w:type="paragraph" w:customStyle="1" w:styleId="33">
    <w:name w:val="Написание специального слова"/>
    <w:basedOn w:val="1"/>
    <w:link w:val="32"/>
    <w:qFormat/>
    <w:uiPriority w:val="0"/>
    <w:pPr>
      <w:widowControl w:val="0"/>
      <w:autoSpaceDE w:val="0"/>
      <w:autoSpaceDN w:val="0"/>
      <w:adjustRightInd w:val="0"/>
      <w:jc w:val="left"/>
    </w:pPr>
    <w:rPr>
      <w:rFonts w:cs="Times New Roman CYR"/>
    </w:rPr>
  </w:style>
  <w:style w:type="paragraph" w:customStyle="1" w:styleId="34">
    <w:name w:val="Отступы элементов списка"/>
    <w:basedOn w:val="1"/>
    <w:qFormat/>
    <w:uiPriority w:val="0"/>
    <w:pPr>
      <w:widowControl w:val="0"/>
      <w:numPr>
        <w:ilvl w:val="0"/>
        <w:numId w:val="2"/>
      </w:numPr>
      <w:tabs>
        <w:tab w:val="left" w:pos="993"/>
      </w:tabs>
      <w:autoSpaceDE w:val="0"/>
      <w:autoSpaceDN w:val="0"/>
      <w:adjustRightInd w:val="0"/>
    </w:pPr>
  </w:style>
  <w:style w:type="paragraph" w:customStyle="1" w:styleId="35">
    <w:name w:val="Отступ после тела приказа"/>
    <w:basedOn w:val="34"/>
    <w:next w:val="34"/>
    <w:qFormat/>
    <w:uiPriority w:val="0"/>
    <w:pPr>
      <w:spacing w:after="687"/>
    </w:pPr>
  </w:style>
  <w:style w:type="paragraph" w:customStyle="1" w:styleId="36">
    <w:name w:val="Слово утверждения документа"/>
    <w:basedOn w:val="37"/>
    <w:qFormat/>
    <w:uiPriority w:val="0"/>
    <w:pPr>
      <w:ind w:left="4820"/>
    </w:pPr>
    <w:rPr>
      <w:caps/>
    </w:rPr>
  </w:style>
  <w:style w:type="paragraph" w:customStyle="1" w:styleId="37">
    <w:name w:val="Утверждение документа"/>
    <w:basedOn w:val="1"/>
    <w:qFormat/>
    <w:uiPriority w:val="0"/>
    <w:pPr>
      <w:jc w:val="right"/>
    </w:pPr>
  </w:style>
  <w:style w:type="paragraph" w:customStyle="1" w:styleId="38">
    <w:name w:val="Тело утверждения документа"/>
    <w:basedOn w:val="37"/>
    <w:qFormat/>
    <w:uiPriority w:val="0"/>
  </w:style>
  <w:style w:type="paragraph" w:customStyle="1" w:styleId="39">
    <w:name w:val="Заголовки приложений"/>
    <w:basedOn w:val="1"/>
    <w:qFormat/>
    <w:uiPriority w:val="0"/>
    <w:pPr>
      <w:jc w:val="center"/>
    </w:pPr>
    <w:rPr>
      <w:rFonts w:eastAsiaTheme="minorHAnsi" w:cstheme="minorBidi"/>
      <w:b/>
      <w:lang w:eastAsia="en-US"/>
    </w:rPr>
  </w:style>
  <w:style w:type="paragraph" w:customStyle="1" w:styleId="40">
    <w:name w:val="Большой список уровень 1"/>
    <w:basedOn w:val="1"/>
    <w:next w:val="1"/>
    <w:qFormat/>
    <w:uiPriority w:val="0"/>
    <w:pPr>
      <w:keepNext/>
      <w:numPr>
        <w:ilvl w:val="0"/>
        <w:numId w:val="3"/>
      </w:numPr>
      <w:spacing w:before="360"/>
      <w:jc w:val="center"/>
    </w:pPr>
    <w:rPr>
      <w:b/>
      <w:bCs/>
      <w:caps/>
      <w:szCs w:val="24"/>
    </w:rPr>
  </w:style>
  <w:style w:type="paragraph" w:customStyle="1" w:styleId="41">
    <w:name w:val="Большой список уровень 2"/>
    <w:basedOn w:val="1"/>
    <w:qFormat/>
    <w:uiPriority w:val="0"/>
    <w:pPr>
      <w:widowControl w:val="0"/>
      <w:numPr>
        <w:ilvl w:val="1"/>
        <w:numId w:val="3"/>
      </w:numPr>
    </w:pPr>
    <w:rPr>
      <w:rFonts w:eastAsiaTheme="minorHAnsi"/>
      <w:szCs w:val="24"/>
      <w:lang w:eastAsia="en-US"/>
    </w:rPr>
  </w:style>
  <w:style w:type="paragraph" w:customStyle="1" w:styleId="42">
    <w:name w:val="Большой список уровень 3"/>
    <w:basedOn w:val="41"/>
    <w:qFormat/>
    <w:uiPriority w:val="0"/>
    <w:pPr>
      <w:numPr>
        <w:ilvl w:val="2"/>
      </w:numPr>
    </w:pPr>
    <w:rPr>
      <w:rFonts w:cstheme="minorBidi"/>
    </w:rPr>
  </w:style>
  <w:style w:type="paragraph" w:customStyle="1" w:styleId="43">
    <w:name w:val="Большой список уровень 4 + без курсива"/>
    <w:basedOn w:val="42"/>
    <w:qFormat/>
    <w:uiPriority w:val="0"/>
    <w:pPr>
      <w:numPr>
        <w:ilvl w:val="3"/>
      </w:numPr>
    </w:pPr>
  </w:style>
  <w:style w:type="paragraph" w:customStyle="1" w:styleId="44">
    <w:name w:val="Большой список маркированный"/>
    <w:basedOn w:val="1"/>
    <w:qFormat/>
    <w:uiPriority w:val="0"/>
    <w:pPr>
      <w:widowControl w:val="0"/>
      <w:numPr>
        <w:ilvl w:val="0"/>
        <w:numId w:val="4"/>
      </w:numPr>
    </w:pPr>
    <w:rPr>
      <w:rFonts w:eastAsiaTheme="minorHAnsi"/>
      <w:lang w:eastAsia="en-US"/>
    </w:rPr>
  </w:style>
  <w:style w:type="paragraph" w:customStyle="1" w:styleId="45">
    <w:name w:val="Абзац названия документа"/>
    <w:basedOn w:val="1"/>
    <w:qFormat/>
    <w:uiPriority w:val="0"/>
    <w:pPr>
      <w:spacing w:before="360" w:after="360"/>
      <w:jc w:val="left"/>
    </w:pPr>
    <w:rPr>
      <w:rFonts w:eastAsia="Times New Roman"/>
    </w:rPr>
  </w:style>
  <w:style w:type="table" w:customStyle="1" w:styleId="46">
    <w:name w:val="Название документа"/>
    <w:basedOn w:val="7"/>
    <w:qFormat/>
    <w:uiPriority w:val="99"/>
  </w:style>
  <w:style w:type="paragraph" w:customStyle="1" w:styleId="47">
    <w:name w:val="Отступ до тела приказа"/>
    <w:basedOn w:val="34"/>
    <w:next w:val="34"/>
    <w:qFormat/>
    <w:uiPriority w:val="0"/>
    <w:pPr>
      <w:tabs>
        <w:tab w:val="left" w:pos="0"/>
        <w:tab w:val="clear" w:pos="993"/>
      </w:tabs>
    </w:pPr>
  </w:style>
  <w:style w:type="paragraph" w:customStyle="1" w:styleId="48">
    <w:name w:val="ConsPlusNormal"/>
    <w:qFormat/>
    <w:uiPriority w:val="0"/>
    <w:pPr>
      <w:widowControl w:val="0"/>
      <w:autoSpaceDE w:val="0"/>
      <w:autoSpaceDN w:val="0"/>
      <w:spacing w:line="240" w:lineRule="auto"/>
      <w:jc w:val="left"/>
    </w:pPr>
    <w:rPr>
      <w:rFonts w:ascii="Times New Roman" w:hAnsi="Times New Roman" w:cs="Times New Roman" w:eastAsiaTheme="minorEastAsia"/>
      <w:kern w:val="2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11</Pages>
  <Words>2219</Words>
  <Characters>17805</Characters>
  <Paragraphs>15</Paragraphs>
  <TotalTime>0</TotalTime>
  <ScaleCrop>false</ScaleCrop>
  <LinksUpToDate>false</LinksUpToDate>
  <CharactersWithSpaces>19934</CharactersWithSpaces>
  <Application>WPS Office_12.1.0.26880_F1E327BC-269C-435d-A152-05C5408002CA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2022-02-07T01:33:00Z</dcterms:created>
  <dc:creator>Татьяна Ковальчук</dc:creator>
  <cp:lastModifiedBy>WPS_1706838892</cp:lastModifiedBy>
  <cp:lastPrinted>2026-06-01T05:27:00Z</cp:lastPrinted>
  <dcterms:modified xsi:type="dcterms:W3CDTF">2026-06-01T07:30:44Z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ICV">
    <vt:lpwstr>FF6621B28EF346358E017B354F993F3E_13</vt:lpwstr>
  </property>
  <property fmtid="{D5CDD505-2E9C-101B-9397-08002B2CF9AE}" pid="4" name="KSOProductBuildVer">
    <vt:lpwstr>1049-12.1.0.26880</vt:lpwstr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TemplateDocerSaveRecord">
    <vt:lpwstr>eyJoZGlkIjoiOGFlYzZlMjZjOWU4ODZmZjJkNDZlMjRiODRmZDAyOWIiLCJ1c2VySWQiOiI4NDIzMjM2OTI0MTcifQ==</vt:lpwstr>
  </property>
</Properties>
</file>