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599"/>
        <w:jc w:val="center"/>
        <w:rPr>
          <w:rFonts w:ascii="PT Astra Serif" w:hAnsi="PT Astra Serif" w:cs="PT Astra Serif"/>
          <w:lang w:val="ru-RU"/>
        </w:rPr>
      </w:pPr>
      <w:r>
        <w:rPr>
          <w:rFonts w:ascii="PT Astra Serif" w:hAnsi="PT Astra Serif" w:cs="PT Astra Serif"/>
          <w:b/>
          <w:bCs/>
          <w:sz w:val="28"/>
          <w:szCs w:val="28"/>
          <w:lang w:val="ru-RU"/>
        </w:rPr>
        <w:t xml:space="preserve">Перечень ошибок, наиболее часто допускаемых при прохождении государственной экспертизы проектной документации и результатов инженерных изысканий</w:t>
      </w:r>
      <w:r>
        <w:rPr>
          <w:rFonts w:ascii="PT Astra Serif" w:hAnsi="PT Astra Serif" w:cs="PT Astra Serif"/>
          <w:b/>
          <w:bCs/>
          <w:sz w:val="28"/>
          <w:szCs w:val="28"/>
          <w:lang w:val="ru-RU"/>
        </w:rPr>
      </w:r>
      <w:r/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Раздел «Инженерные изыскания»: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1. В отчетах о результатах инженерных изысканий отсутствуют: выписки из каталога координат и высот исходных геодезических пунктов, а также ведомость их обследования; схема созданного планово-высотного обоснования;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2. Отсутствуют планы (схемы) инженерных коммуникаций согласованные с сетедержателями (собственниками);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3. Если по результатам инженерных изысканий на площадке, расположенной в районе с нормативной сейсмичностью 6 б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Инженерные изыскания: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1. В отчетах о результатах инженерных изысканий отсутствуют: выписки из каталога координат и высот исходных геодезических пунктов, а также ведомость их обследования; схема созданного планово-высотного обоснования;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2. Отсутствуют планы (схемы) инженерных коммуникаций согласованные с сетедержателями (собственниками);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3. Если по результатам инженерных изысканий на площадке, расположенной в районе с нормативной сейсмичностью 6 баллов по карте А ОСР-2015, грунты по их описанию соответствуют грунтам категории III или IV  по сейсмическим свойствам, расчетную сейсмичность пло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щадки следует определять по результатам СМР, выполняемого в составе инженерных изысканий;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4. Инженерно-геологические скважины следует располагать по контурам и (или) осям проектируемых зданий и сооружений в местах резкого изменения нагрузок на фундаменты и глубины их заложения, на границах геоморфологических элементов.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5. Глубина инженерно-геологических скважин для зданий и сооружений нормального уровня ответственности должна быть увеличена не менее чем на 2 м. относительно суммы проектируемой глубины заложения фундамента и глубины сжимаемой толщи грунтов (Нс). Глубина сж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имаемой толщи в сфере взаимодействия зданий и сооружений с геологической средой определяется трактованиями расчетной модели основания фундамента и указывается заказчиком (лицом, осуществляющим подготовку проектной документации) в задании;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6. По  выделенным инженерно-геологическим элементам не соблюдается получение не менее 10 характеристик состава и состояния грунта или не менее 6 характеристик механических (прочностных и деформационных) свойств;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7. Отсутствуют ответы специально уполномоченных органов о наличии (отсутствии) ограничений по использованию земельного участка: органов местного самоуправления; органов охраны культурного наследия; министерства природных ресурсов Приморского края; сведения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территориального управления Росрыболовства и др.;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8. Установление  границ зоны затопления участка с учетом отметки наивысшего 1% уровня подъема паводковых вод;</w:t>
      </w:r>
      <w:r/>
    </w:p>
    <w:p>
      <w:r>
        <w:rPr>
          <w:rFonts w:ascii="Times New Roman" w:hAnsi="Times New Roman" w:cs="Times New Roman"/>
          <w:sz w:val="24"/>
          <w:szCs w:val="24"/>
          <w:highlight w:val="none"/>
        </w:rPr>
        <w:t xml:space="preserve">9. Отсутствуют продольные профили водотоков, морфостфоры.</w:t>
      </w:r>
      <w:r/>
      <w:r>
        <w:rPr>
          <w:rFonts w:ascii="Times New Roman" w:hAnsi="Times New Roman" w:cs="Times New Roman"/>
          <w:sz w:val="24"/>
          <w:szCs w:val="24"/>
          <w:highlight w:val="none"/>
        </w:rPr>
      </w:r>
      <w:r/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  <w:t xml:space="preserve">Раздел «Проектная документация»: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1. Отсутствие при заходе на экспертизу документа об утверждении документации по планировке и межеванию территорий для линейных объектов, не относящихся к объектам магистральной инфраструктуры, в соответствии с Федеральным законом №254-ФЗ;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2. При размещении здания на земельном участке не учитываются требования, устанавливаемые для зон с особыми условиями использования территории; не учитываются отметки зон затопления, устанавливаемые гидрометеорологическими изысканиями;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3. Для подключения объекта капитального строительства к сетям инженерного обеспечения за границами отведенного земельного участка не предоставляются правоустанавливающие документы на используемые земельные участки, сведения об отсутствии прав третьих лиц и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разрешения муниципальных образований на использование земельных участков без предоставления и установления сервитутов;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4. Отсутствие решений по защите территории размещения объекта капитального строительства от поверхностных стоков с соседних участков - водоотводные сооружения (нагорные канавы, лотки);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5. Отсутствие решений по ливневой канализации и решений по разделению поверхностного стока на загрязненные и условно чистые воды для выбора очистных сооружений;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6. Несоответствие технических решений заданию на проектирование, в том числе по технико-экономическим показателям;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7. Неверный выбор технико-экономических показателей для объектов капитального строительства и для линейных объектов. Наименование ТЭП объектов капительного строительства не соответствует наименованиям и правилам подсчета, приведенным  в соответствующих СП;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8. Несоответствие зданий требованиям теплозащиты; выполнение теплотехнических расчетов по устаревшим методикам;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9. Отсутствие сведений о требуемых параметрах, применяемых материалов - бетонов, стали; сведений о коррозионной защите строительных конструкций;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10. Необеспеченность проездами и подъездами к зданиям и сооружениям пожарных автомобилей;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11. Непредоставление в экспертизу документов, обосновывающих ущерб водным биоресурсам, перечетных ведомостей и подеревной съемки;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12. Неподтверждение заказчиком и отсутствие транспортной схемы, логистических схем доставки строительных материалов и конструкций. Ошибки в подборе кранов и расчете опасных зон.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Раздел: «Смета на строительство объекта капитального строительства»</w:t>
      </w:r>
      <w:r>
        <w:rPr>
          <w:b/>
          <w:bCs/>
          <w:sz w:val="20"/>
          <w:szCs w:val="20"/>
        </w:rPr>
      </w:r>
    </w:p>
    <w:tbl>
      <w:tblPr>
        <w:tblStyle w:val="60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4540"/>
        <w:gridCol w:w="5102"/>
      </w:tblGrid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Типичные ошибки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составе сметной документации отсутствует информация о принятой сметно-нормативной базе при расчете сметной стоимости объекта капитального строительства, 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противоречит указаниям п. 20(1) Положения № 145.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322"/>
        </w:trPr>
        <w:tc>
          <w:tcPr>
            <w:tcW w:w="56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Представленные ведомости объемов работ не в полном объеме подтверждают затраты, учтенные в сметных расчетах.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противоречит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п. 27, 35 Методики определения сметной стоимости строительства, реконструкции, капи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РФ на территории РФ, утвержденной приказом Министерства строительства жилищно-коммунального хозяйства РФ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04.08.2020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421/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редакции Приказа Минстроя РФ от 07.07.2022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557/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«Методика от 04.08.2020 № 421/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»)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ВОР представить расчеты объемов земляных масс для обоснования земляных работ, учтенных в сметной документации.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Ведомости объемов работ являются продуктом сметной программы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выгруженн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формате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должна содержать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ошибок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ttps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://checkxml.platformaexpert.ru/, устранить ошибки при их выявлении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формату электронных документов, представляемых для проведения государственной экспертизы проектной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и (или) результатов инженерных изысканий и проверки достоверности определения сметной стоимости строительства, реконструкции, капитального ремонта объектов капитального строительства, утверждены приказом Министерства строительства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жилищно-коммунального хозяйства РФ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12 мая 2017 г. № 783/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учета затрат в сметном расчете затрат на пусконаладочные работы,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ПНР, утвержденн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заказчиком. В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отсутствует  информация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перечне оборудования, подлежащего ПНР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противоречит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122 Методики от 04.08.2020 №421/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Некорректное применение индексов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изменения сметной стоимости строительства, для определения сметной стоимости строительно-монтажных работ в текущем уровне цен, включенных в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ССРСС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Методики расчета индексов изменения сметной стоимости строительства, утвержденной приказом Минстроя России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05.06.2019 № 326/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документах, обосновывающих стоимость в текущем уровне цен  соответствующих материальных ресурсов, оборудования и отдельных видов работ и услуг, предоставляемых производителями (поставщиками) или формируемых на основании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данных из открытых и (или) официальных источников (прайс-листы коммерческие предложения), указанных в пункте 14 Методики,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ться следующая информация: наименование производителя (п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оставщика), его идентификационный номер налогоплательщика (далее - ИНН), контактные данные, сайт в информационно-телекоммуникационной сети «Интернет» (при наличии), об исполнителе (исполнителях) (при наличии) такого обосновывающего документа с указанием 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милий и инициалов либо иных реквизитов, необходимых для идентификации этих лиц, а также о дате составления документа, дате и (или) сроках действия ценовых предложений, об учете (или не учете) в ценах отдельных затрат (в частности, на перевозку, шефмонтаж,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шефналадку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и налога на добавленную стоимость (далее - НДС).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противоречит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п. 13-24, Приложение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1 Методики от 04.08.2020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421/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sz w:val="20"/>
                <w:szCs w:val="20"/>
              </w:rPr>
            </w:r>
          </w:p>
        </w:tc>
        <w:tc>
          <w:tcPr>
            <w:tcW w:w="454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 сметных нормативов, единичных расценок и составляющих единичных расценок для определения стоимости строительно-монт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ажных и пусконаладочных работ осуществляется исходя из соответствия технологии производства работ, принятой в проектной и (или) иной технической документации, состава работ, перечня, характеристик и расхода строительных ресурсов, учтенных сметными нормами.</w:t>
            </w:r>
            <w:r>
              <w:rPr>
                <w:sz w:val="20"/>
                <w:szCs w:val="20"/>
              </w:rPr>
            </w:r>
          </w:p>
        </w:tc>
        <w:tc>
          <w:tcPr>
            <w:tcW w:w="510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Методики от 04.08.2020 </w:t>
            </w:r>
            <w:r>
              <w:rPr>
                <w:sz w:val="20"/>
                <w:szCs w:val="20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421/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sz w:val="20"/>
                <w:szCs w:val="20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567" w:right="567" w:bottom="567" w:left="85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599"/>
    <w:next w:val="59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0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599"/>
    <w:next w:val="59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0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599"/>
    <w:next w:val="59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0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599"/>
    <w:next w:val="59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0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599"/>
    <w:next w:val="59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0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599"/>
    <w:next w:val="59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0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599"/>
    <w:next w:val="59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0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599"/>
    <w:next w:val="59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0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599"/>
    <w:next w:val="59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0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599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599"/>
    <w:next w:val="59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00"/>
    <w:link w:val="34"/>
    <w:uiPriority w:val="10"/>
    <w:rPr>
      <w:sz w:val="48"/>
      <w:szCs w:val="48"/>
    </w:rPr>
  </w:style>
  <w:style w:type="paragraph" w:styleId="36">
    <w:name w:val="Subtitle"/>
    <w:basedOn w:val="599"/>
    <w:next w:val="59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00"/>
    <w:link w:val="36"/>
    <w:uiPriority w:val="11"/>
    <w:rPr>
      <w:sz w:val="24"/>
      <w:szCs w:val="24"/>
    </w:rPr>
  </w:style>
  <w:style w:type="paragraph" w:styleId="38">
    <w:name w:val="Quote"/>
    <w:basedOn w:val="599"/>
    <w:next w:val="59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599"/>
    <w:next w:val="59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59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00"/>
    <w:link w:val="42"/>
    <w:uiPriority w:val="99"/>
  </w:style>
  <w:style w:type="paragraph" w:styleId="44">
    <w:name w:val="Footer"/>
    <w:basedOn w:val="59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00"/>
    <w:link w:val="44"/>
    <w:uiPriority w:val="99"/>
  </w:style>
  <w:style w:type="paragraph" w:styleId="46">
    <w:name w:val="Caption"/>
    <w:basedOn w:val="599"/>
    <w:next w:val="59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59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00"/>
    <w:uiPriority w:val="99"/>
    <w:unhideWhenUsed/>
    <w:rPr>
      <w:vertAlign w:val="superscript"/>
    </w:rPr>
  </w:style>
  <w:style w:type="paragraph" w:styleId="178">
    <w:name w:val="endnote text"/>
    <w:basedOn w:val="59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00"/>
    <w:uiPriority w:val="99"/>
    <w:semiHidden/>
    <w:unhideWhenUsed/>
    <w:rPr>
      <w:vertAlign w:val="superscript"/>
    </w:rPr>
  </w:style>
  <w:style w:type="paragraph" w:styleId="181">
    <w:name w:val="toc 1"/>
    <w:basedOn w:val="599"/>
    <w:next w:val="59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599"/>
    <w:next w:val="59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599"/>
    <w:next w:val="59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599"/>
    <w:next w:val="59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599"/>
    <w:next w:val="59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599"/>
    <w:next w:val="59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599"/>
    <w:next w:val="59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599"/>
    <w:next w:val="59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599"/>
    <w:next w:val="59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599"/>
    <w:next w:val="599"/>
    <w:uiPriority w:val="99"/>
    <w:unhideWhenUsed/>
    <w:pPr>
      <w:spacing w:after="0" w:afterAutospacing="0"/>
    </w:pPr>
  </w:style>
  <w:style w:type="paragraph" w:styleId="599" w:default="1">
    <w:name w:val="Normal"/>
    <w:qFormat/>
  </w:style>
  <w:style w:type="character" w:styleId="600" w:default="1">
    <w:name w:val="Default Paragraph Font"/>
    <w:uiPriority w:val="1"/>
    <w:semiHidden/>
    <w:unhideWhenUsed/>
  </w:style>
  <w:style w:type="table" w:styleId="6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2" w:default="1">
    <w:name w:val="No List"/>
    <w:uiPriority w:val="99"/>
    <w:semiHidden/>
    <w:unhideWhenUsed/>
  </w:style>
  <w:style w:type="table" w:styleId="603">
    <w:name w:val="Table Grid"/>
    <w:basedOn w:val="60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Тетерятникова Анастасия Николаевна</dc:creator>
  <cp:keywords/>
  <dc:description/>
  <cp:revision>3</cp:revision>
  <dcterms:created xsi:type="dcterms:W3CDTF">2023-06-27T07:46:00Z</dcterms:created>
  <dcterms:modified xsi:type="dcterms:W3CDTF">2023-06-30T02:05:11Z</dcterms:modified>
</cp:coreProperties>
</file>